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DAC6" w14:textId="524FC3B6" w:rsidR="007D5376" w:rsidRDefault="00FC27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BEFORE THE PUBLIC SERVICE COMMISSION</w:t>
      </w:r>
    </w:p>
    <w:p w14:paraId="5913EC2A" w14:textId="77777777" w:rsidR="00537456" w:rsidRDefault="00537456">
      <w:pPr>
        <w:spacing w:after="0" w:line="240" w:lineRule="auto"/>
        <w:jc w:val="center"/>
        <w:rPr>
          <w:rFonts w:ascii="Times New Roman" w:hAnsi="Times New Roman" w:cs="Times New Roman"/>
          <w:b/>
          <w:sz w:val="24"/>
          <w:szCs w:val="24"/>
        </w:rPr>
      </w:pPr>
    </w:p>
    <w:p w14:paraId="7C228B42" w14:textId="5D48B638" w:rsidR="007D5376" w:rsidRDefault="00FC27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STATE OF GEORGIA</w:t>
      </w:r>
    </w:p>
    <w:p w14:paraId="49836819" w14:textId="77777777" w:rsidR="00A704C3" w:rsidRDefault="00A704C3">
      <w:pPr>
        <w:spacing w:after="0" w:line="240" w:lineRule="auto"/>
        <w:jc w:val="center"/>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5"/>
        <w:gridCol w:w="4675"/>
      </w:tblGrid>
      <w:tr w:rsidR="007D5376" w14:paraId="0DEEB852" w14:textId="77777777" w:rsidTr="000C7745">
        <w:trPr>
          <w:trHeight w:val="2043"/>
        </w:trPr>
        <w:tc>
          <w:tcPr>
            <w:tcW w:w="4675" w:type="dxa"/>
          </w:tcPr>
          <w:p w14:paraId="54455F0F" w14:textId="77777777" w:rsidR="007D5376" w:rsidRDefault="00FC2789">
            <w:pPr>
              <w:spacing w:after="0"/>
              <w:rPr>
                <w:rFonts w:ascii="Times New Roman" w:hAnsi="Times New Roman" w:cs="Times New Roman"/>
                <w:sz w:val="24"/>
                <w:szCs w:val="24"/>
              </w:rPr>
            </w:pPr>
            <w:r>
              <w:rPr>
                <w:rFonts w:ascii="Times New Roman" w:hAnsi="Times New Roman" w:cs="Times New Roman"/>
                <w:sz w:val="24"/>
                <w:szCs w:val="24"/>
              </w:rPr>
              <w:t>In re:</w:t>
            </w:r>
          </w:p>
          <w:p w14:paraId="045CAB94" w14:textId="77777777" w:rsidR="007D5376" w:rsidRDefault="007D5376">
            <w:pPr>
              <w:spacing w:after="0"/>
              <w:rPr>
                <w:rFonts w:ascii="Times New Roman" w:hAnsi="Times New Roman" w:cs="Times New Roman"/>
                <w:sz w:val="24"/>
                <w:szCs w:val="24"/>
              </w:rPr>
            </w:pPr>
          </w:p>
          <w:p w14:paraId="722EFA2B" w14:textId="1C497F64" w:rsidR="007D5376" w:rsidRDefault="00FC2789">
            <w:pPr>
              <w:rPr>
                <w:rFonts w:ascii="Times New Roman" w:hAnsi="Times New Roman" w:cs="Times New Roman"/>
                <w:sz w:val="24"/>
                <w:szCs w:val="24"/>
              </w:rPr>
            </w:pPr>
            <w:r>
              <w:rPr>
                <w:rFonts w:ascii="Times New Roman" w:hAnsi="Times New Roman" w:cs="Times New Roman"/>
                <w:sz w:val="24"/>
                <w:szCs w:val="24"/>
              </w:rPr>
              <w:t>APPLICATION OF CONNECT HOLDING II LLC</w:t>
            </w:r>
            <w:r w:rsidR="00131E5D">
              <w:rPr>
                <w:rFonts w:ascii="Times New Roman" w:hAnsi="Times New Roman" w:cs="Times New Roman"/>
                <w:sz w:val="24"/>
                <w:szCs w:val="24"/>
              </w:rPr>
              <w:t xml:space="preserve"> D/B/A BRIGHTSPEED</w:t>
            </w:r>
            <w:r>
              <w:rPr>
                <w:rFonts w:ascii="Times New Roman" w:hAnsi="Times New Roman" w:cs="Times New Roman"/>
                <w:sz w:val="24"/>
                <w:szCs w:val="24"/>
              </w:rPr>
              <w:t>, BRIGHTSPEED OF GEORGIA, LLC, AND BRIGHTSPEED BROADBAND, LLC FOR AUTHORIZATION OF THE ISSUANCE OF STOCK</w:t>
            </w:r>
          </w:p>
        </w:tc>
        <w:tc>
          <w:tcPr>
            <w:tcW w:w="4675" w:type="dxa"/>
          </w:tcPr>
          <w:p w14:paraId="0F4046AD" w14:textId="77777777" w:rsidR="007D5376" w:rsidRDefault="007D5376">
            <w:pPr>
              <w:rPr>
                <w:rFonts w:ascii="Times New Roman" w:hAnsi="Times New Roman" w:cs="Times New Roman"/>
                <w:b/>
                <w:sz w:val="24"/>
                <w:szCs w:val="24"/>
              </w:rPr>
            </w:pPr>
          </w:p>
          <w:p w14:paraId="2FE4027C" w14:textId="77777777" w:rsidR="007D5376" w:rsidRDefault="007D5376">
            <w:pPr>
              <w:rPr>
                <w:rFonts w:ascii="Times New Roman" w:hAnsi="Times New Roman" w:cs="Times New Roman"/>
                <w:b/>
                <w:sz w:val="24"/>
                <w:szCs w:val="24"/>
              </w:rPr>
            </w:pPr>
          </w:p>
          <w:p w14:paraId="59402C42" w14:textId="77777777" w:rsidR="007D5376" w:rsidRDefault="00FC2789">
            <w:pPr>
              <w:rPr>
                <w:rFonts w:ascii="Times New Roman" w:hAnsi="Times New Roman" w:cs="Times New Roman"/>
                <w:sz w:val="24"/>
                <w:szCs w:val="24"/>
              </w:rPr>
            </w:pPr>
            <w:r>
              <w:rPr>
                <w:rFonts w:ascii="Times New Roman" w:hAnsi="Times New Roman" w:cs="Times New Roman"/>
                <w:sz w:val="24"/>
                <w:szCs w:val="24"/>
              </w:rPr>
              <w:t>DOCKET NO.: _____________</w:t>
            </w:r>
          </w:p>
        </w:tc>
      </w:tr>
    </w:tbl>
    <w:p w14:paraId="1A21DB30" w14:textId="77777777" w:rsidR="007D5376" w:rsidRDefault="007D5376">
      <w:pPr>
        <w:spacing w:after="0" w:line="240" w:lineRule="auto"/>
        <w:jc w:val="center"/>
        <w:rPr>
          <w:rFonts w:ascii="Times New Roman" w:hAnsi="Times New Roman" w:cs="Times New Roman"/>
          <w:b/>
          <w:sz w:val="24"/>
          <w:szCs w:val="24"/>
        </w:rPr>
      </w:pPr>
    </w:p>
    <w:p w14:paraId="1FE27929" w14:textId="1F44DDA5" w:rsidR="007D5376" w:rsidRDefault="00FC278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APPLICATION OF CONNECT HOLDING II LLC</w:t>
      </w:r>
      <w:r w:rsidR="00FF0382">
        <w:rPr>
          <w:rFonts w:ascii="Times New Roman" w:hAnsi="Times New Roman" w:cs="Times New Roman"/>
          <w:b/>
          <w:sz w:val="24"/>
          <w:szCs w:val="24"/>
        </w:rPr>
        <w:t xml:space="preserve"> D/B/A BRIGHTSPEED</w:t>
      </w:r>
      <w:r>
        <w:rPr>
          <w:rFonts w:ascii="Times New Roman" w:hAnsi="Times New Roman" w:cs="Times New Roman"/>
          <w:b/>
          <w:sz w:val="24"/>
          <w:szCs w:val="24"/>
        </w:rPr>
        <w:t>, BRIGHTSPEED OF GEORGIA, LLC, AND BRIGHTSPEED BROADBAND, LLC</w:t>
      </w:r>
    </w:p>
    <w:p w14:paraId="4E4EE0A0" w14:textId="77777777" w:rsidR="007D5376" w:rsidRDefault="00FC2789">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FOR AUTHORIZATION OF THE ISSUANCE OF STOCK</w:t>
      </w:r>
    </w:p>
    <w:p w14:paraId="157027FD" w14:textId="0FC960D6" w:rsidR="007D5376" w:rsidRDefault="00FC278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Connect Holding II LLC</w:t>
      </w:r>
      <w:r w:rsidR="00131E5D">
        <w:rPr>
          <w:rFonts w:ascii="Times New Roman" w:hAnsi="Times New Roman" w:cs="Times New Roman"/>
          <w:sz w:val="24"/>
          <w:szCs w:val="24"/>
        </w:rPr>
        <w:t xml:space="preserve"> d/b/a </w:t>
      </w:r>
      <w:proofErr w:type="spellStart"/>
      <w:r w:rsidR="00131E5D">
        <w:rPr>
          <w:rFonts w:ascii="Times New Roman" w:hAnsi="Times New Roman" w:cs="Times New Roman"/>
          <w:sz w:val="24"/>
          <w:szCs w:val="24"/>
        </w:rPr>
        <w:t>Brightspeed</w:t>
      </w:r>
      <w:proofErr w:type="spellEnd"/>
      <w:r>
        <w:rPr>
          <w:rFonts w:ascii="Times New Roman" w:hAnsi="Times New Roman" w:cs="Times New Roman"/>
          <w:sz w:val="24"/>
          <w:szCs w:val="24"/>
        </w:rPr>
        <w:t xml:space="preserve"> (“Connect Holding II”</w:t>
      </w:r>
      <w:r w:rsidR="00460B1E">
        <w:rPr>
          <w:rFonts w:ascii="Times New Roman" w:hAnsi="Times New Roman" w:cs="Times New Roman"/>
          <w:sz w:val="24"/>
          <w:szCs w:val="24"/>
        </w:rPr>
        <w:t xml:space="preserve"> or “</w:t>
      </w:r>
      <w:proofErr w:type="spellStart"/>
      <w:r w:rsidR="00460B1E">
        <w:rPr>
          <w:rFonts w:ascii="Times New Roman" w:hAnsi="Times New Roman" w:cs="Times New Roman"/>
          <w:sz w:val="24"/>
          <w:szCs w:val="24"/>
        </w:rPr>
        <w:t>Brightspeed</w:t>
      </w:r>
      <w:proofErr w:type="spellEnd"/>
      <w:r w:rsidR="00460B1E">
        <w:rPr>
          <w:rFonts w:ascii="Times New Roman" w:hAnsi="Times New Roman" w:cs="Times New Roman"/>
          <w:sz w:val="24"/>
          <w:szCs w:val="24"/>
        </w:rPr>
        <w:t>”</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a Delaware limited liability company and parent of </w:t>
      </w:r>
      <w:proofErr w:type="spellStart"/>
      <w:r>
        <w:rPr>
          <w:rFonts w:ascii="Times New Roman" w:hAnsi="Times New Roman" w:cs="Times New Roman"/>
          <w:sz w:val="24"/>
          <w:szCs w:val="24"/>
        </w:rPr>
        <w:t>Brightspeed</w:t>
      </w:r>
      <w:proofErr w:type="spellEnd"/>
      <w:r>
        <w:rPr>
          <w:rFonts w:ascii="Times New Roman" w:hAnsi="Times New Roman" w:cs="Times New Roman"/>
          <w:sz w:val="24"/>
          <w:szCs w:val="24"/>
        </w:rPr>
        <w:t xml:space="preserve"> of Georgia, LLC</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 xml:space="preserve"> and </w:t>
      </w:r>
      <w:proofErr w:type="spellStart"/>
      <w:r>
        <w:rPr>
          <w:rFonts w:ascii="Times New Roman" w:hAnsi="Times New Roman" w:cs="Times New Roman"/>
          <w:sz w:val="24"/>
          <w:szCs w:val="24"/>
        </w:rPr>
        <w:t>Brightspeed</w:t>
      </w:r>
      <w:proofErr w:type="spellEnd"/>
      <w:r>
        <w:rPr>
          <w:rFonts w:ascii="Times New Roman" w:hAnsi="Times New Roman" w:cs="Times New Roman"/>
          <w:sz w:val="24"/>
          <w:szCs w:val="24"/>
        </w:rPr>
        <w:t xml:space="preserve"> Broadband, LLC</w:t>
      </w:r>
      <w:r>
        <w:rPr>
          <w:rStyle w:val="FootnoteReference"/>
          <w:rFonts w:ascii="Times New Roman" w:hAnsi="Times New Roman" w:cs="Times New Roman"/>
          <w:sz w:val="24"/>
          <w:szCs w:val="24"/>
        </w:rPr>
        <w:footnoteReference w:id="4"/>
      </w:r>
      <w:r>
        <w:rPr>
          <w:rFonts w:ascii="Times New Roman" w:hAnsi="Times New Roman" w:cs="Times New Roman"/>
          <w:sz w:val="24"/>
          <w:szCs w:val="24"/>
        </w:rPr>
        <w:t xml:space="preserve"> (collectively, the “</w:t>
      </w:r>
      <w:proofErr w:type="spellStart"/>
      <w:r>
        <w:rPr>
          <w:rFonts w:ascii="Times New Roman" w:hAnsi="Times New Roman" w:cs="Times New Roman"/>
          <w:sz w:val="24"/>
          <w:szCs w:val="24"/>
        </w:rPr>
        <w:t>Brightspeed</w:t>
      </w:r>
      <w:proofErr w:type="spellEnd"/>
      <w:r>
        <w:rPr>
          <w:rFonts w:ascii="Times New Roman" w:hAnsi="Times New Roman" w:cs="Times New Roman"/>
          <w:sz w:val="24"/>
          <w:szCs w:val="24"/>
        </w:rPr>
        <w:t xml:space="preserve"> Companies”), pursuant to O.C.G.A. § 46-2-28, and Commission Utility Rule 515-4-1 (Ga. Comp. R. &amp; Regs. 515-4-1) to the extent applicable, file this Application for Authorization of the Issuance of Stock (“Application”) requesting that the Georgia Public Service Commission (“Commission”) determine that the issuance of stock by Connect Holding II</w:t>
      </w:r>
      <w:r w:rsidR="00681FC2">
        <w:rPr>
          <w:rFonts w:ascii="Times New Roman" w:hAnsi="Times New Roman" w:cs="Times New Roman"/>
          <w:sz w:val="24"/>
          <w:szCs w:val="24"/>
        </w:rPr>
        <w:t>’s indirect parent</w:t>
      </w:r>
      <w:r w:rsidR="00FF49A2">
        <w:rPr>
          <w:rFonts w:ascii="Times New Roman" w:hAnsi="Times New Roman" w:cs="Times New Roman"/>
          <w:sz w:val="24"/>
          <w:szCs w:val="24"/>
        </w:rPr>
        <w:t xml:space="preserve"> to CEPSA Holding LLC (“CEPSA Holding”)</w:t>
      </w:r>
      <w:r>
        <w:rPr>
          <w:rFonts w:ascii="Times New Roman" w:hAnsi="Times New Roman" w:cs="Times New Roman"/>
          <w:sz w:val="24"/>
          <w:szCs w:val="24"/>
        </w:rPr>
        <w:t xml:space="preserve"> is exempt from the requirement of approval pursuant to O.C.G.A. § 46-2-28(a) and (b) or, in the alternative, </w:t>
      </w:r>
      <w:r>
        <w:rPr>
          <w:rFonts w:ascii="Times New Roman" w:hAnsi="Times New Roman" w:cs="Times New Roman"/>
          <w:sz w:val="24"/>
          <w:szCs w:val="24"/>
        </w:rPr>
        <w:lastRenderedPageBreak/>
        <w:t>authorize the issuance.  In support of its Application, the Applicant shows the Commission, as follows:</w:t>
      </w:r>
    </w:p>
    <w:p w14:paraId="5DE2F12F" w14:textId="12D2480B" w:rsidR="007D5376" w:rsidRDefault="00FC2789" w:rsidP="000C7745">
      <w:pPr>
        <w:pStyle w:val="ListParagraph"/>
        <w:keepNext/>
        <w:numPr>
          <w:ilvl w:val="0"/>
          <w:numId w:val="19"/>
        </w:numPr>
        <w:spacing w:after="0" w:line="480" w:lineRule="auto"/>
        <w:ind w:left="720"/>
        <w:jc w:val="both"/>
        <w:rPr>
          <w:rFonts w:ascii="Times New Roman" w:hAnsi="Times New Roman" w:cs="Times New Roman"/>
          <w:b/>
          <w:bCs/>
          <w:sz w:val="24"/>
          <w:szCs w:val="24"/>
        </w:rPr>
      </w:pPr>
      <w:r>
        <w:rPr>
          <w:rFonts w:ascii="Times New Roman" w:hAnsi="Times New Roman" w:cs="Times New Roman"/>
          <w:b/>
          <w:bCs/>
          <w:sz w:val="24"/>
          <w:szCs w:val="24"/>
        </w:rPr>
        <w:t>INTRODUCTION</w:t>
      </w:r>
    </w:p>
    <w:p w14:paraId="60911E72" w14:textId="4160A531" w:rsidR="007D5376" w:rsidRDefault="00FC2789" w:rsidP="000C7745">
      <w:pPr>
        <w:keepNext/>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On October 22, 2021, Commission staff found that Connect Holding’s acquisition of the </w:t>
      </w:r>
      <w:proofErr w:type="spellStart"/>
      <w:r>
        <w:rPr>
          <w:rFonts w:ascii="Times New Roman" w:hAnsi="Times New Roman" w:cs="Times New Roman"/>
          <w:sz w:val="24"/>
          <w:szCs w:val="24"/>
        </w:rPr>
        <w:t>Brightspeed</w:t>
      </w:r>
      <w:proofErr w:type="spellEnd"/>
      <w:r>
        <w:rPr>
          <w:rFonts w:ascii="Times New Roman" w:hAnsi="Times New Roman" w:cs="Times New Roman"/>
          <w:sz w:val="24"/>
          <w:szCs w:val="24"/>
        </w:rPr>
        <w:t xml:space="preserve"> Companies was exempt from the procedure for issuance of stocks, bonds, notes, or other debt by companies under the Public Service Commission’s jurisdiction.</w:t>
      </w:r>
      <w:r>
        <w:rPr>
          <w:rStyle w:val="FootnoteReference"/>
          <w:rFonts w:ascii="Times New Roman" w:hAnsi="Times New Roman" w:cs="Times New Roman"/>
          <w:sz w:val="24"/>
          <w:szCs w:val="24"/>
        </w:rPr>
        <w:footnoteReference w:id="5"/>
      </w:r>
      <w:r>
        <w:rPr>
          <w:rFonts w:ascii="Times New Roman" w:hAnsi="Times New Roman" w:cs="Times New Roman"/>
          <w:sz w:val="24"/>
          <w:szCs w:val="24"/>
        </w:rPr>
        <w:t xml:space="preserve">  Connect Holding’s acquisition, as detailed in its application, had a significant public interest benefit </w:t>
      </w:r>
      <w:r w:rsidR="00E670AD">
        <w:rPr>
          <w:rFonts w:ascii="Times New Roman" w:hAnsi="Times New Roman" w:cs="Times New Roman"/>
          <w:sz w:val="24"/>
          <w:szCs w:val="24"/>
        </w:rPr>
        <w:t>due to</w:t>
      </w:r>
      <w:r>
        <w:rPr>
          <w:rFonts w:ascii="Times New Roman" w:hAnsi="Times New Roman" w:cs="Times New Roman"/>
          <w:sz w:val="24"/>
          <w:szCs w:val="24"/>
        </w:rPr>
        <w:t xml:space="preserve"> Connect Holding’s plans to invest millions of dollars to expand the availability of symmetrical, gigabit fiber-to-the-premises (“FTTP”) broadband in the </w:t>
      </w:r>
      <w:proofErr w:type="spellStart"/>
      <w:r>
        <w:rPr>
          <w:rFonts w:ascii="Times New Roman" w:hAnsi="Times New Roman" w:cs="Times New Roman"/>
          <w:sz w:val="24"/>
          <w:szCs w:val="24"/>
        </w:rPr>
        <w:t>Brightspeed</w:t>
      </w:r>
      <w:proofErr w:type="spellEnd"/>
      <w:r>
        <w:rPr>
          <w:rFonts w:ascii="Times New Roman" w:hAnsi="Times New Roman" w:cs="Times New Roman"/>
          <w:sz w:val="24"/>
          <w:szCs w:val="24"/>
        </w:rPr>
        <w:t xml:space="preserve"> of Georgia, LLC (formerly Coastal Utilities) service area.</w:t>
      </w:r>
      <w:r>
        <w:rPr>
          <w:rStyle w:val="FootnoteReference"/>
          <w:rFonts w:ascii="Times New Roman" w:hAnsi="Times New Roman" w:cs="Times New Roman"/>
          <w:sz w:val="24"/>
          <w:szCs w:val="24"/>
        </w:rPr>
        <w:footnoteReference w:id="6"/>
      </w:r>
    </w:p>
    <w:p w14:paraId="35FD29F4" w14:textId="3D16B6AA" w:rsidR="007D5376" w:rsidRPr="009B3DC8" w:rsidRDefault="00FC2789">
      <w:pPr>
        <w:spacing w:after="0" w:line="48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Brightspeed’s</w:t>
      </w:r>
      <w:proofErr w:type="spellEnd"/>
      <w:r>
        <w:rPr>
          <w:rFonts w:ascii="Times New Roman" w:hAnsi="Times New Roman" w:cs="Times New Roman"/>
          <w:sz w:val="24"/>
          <w:szCs w:val="24"/>
        </w:rPr>
        <w:t xml:space="preserve"> new fiber deployments are now underway.  </w:t>
      </w:r>
      <w:proofErr w:type="spellStart"/>
      <w:r>
        <w:rPr>
          <w:rFonts w:ascii="Times New Roman" w:hAnsi="Times New Roman" w:cs="Times New Roman"/>
          <w:sz w:val="24"/>
          <w:szCs w:val="24"/>
        </w:rPr>
        <w:t>Brightspeed</w:t>
      </w:r>
      <w:proofErr w:type="spellEnd"/>
      <w:r>
        <w:rPr>
          <w:rFonts w:ascii="Times New Roman" w:hAnsi="Times New Roman" w:cs="Times New Roman"/>
          <w:sz w:val="24"/>
          <w:szCs w:val="24"/>
        </w:rPr>
        <w:t xml:space="preserve"> will invest more than $2 billion in its fiber optics transformation, which is expected to reach up to 3 million homes and businesses over the next five years across its 20-state footprint, including in many locations where fiber and advanced technology have not </w:t>
      </w:r>
      <w:r w:rsidRPr="009B3DC8">
        <w:rPr>
          <w:rFonts w:ascii="Times New Roman" w:hAnsi="Times New Roman" w:cs="Times New Roman"/>
          <w:sz w:val="24"/>
          <w:szCs w:val="24"/>
        </w:rPr>
        <w:t xml:space="preserve">historically been deployed, such as the copper-based DSL locations in the </w:t>
      </w:r>
      <w:proofErr w:type="spellStart"/>
      <w:r w:rsidRPr="009B3DC8">
        <w:rPr>
          <w:rFonts w:ascii="Times New Roman" w:hAnsi="Times New Roman" w:cs="Times New Roman"/>
          <w:sz w:val="24"/>
          <w:szCs w:val="24"/>
        </w:rPr>
        <w:t>Brightspeed</w:t>
      </w:r>
      <w:proofErr w:type="spellEnd"/>
      <w:r w:rsidRPr="009B3DC8">
        <w:rPr>
          <w:rFonts w:ascii="Times New Roman" w:hAnsi="Times New Roman" w:cs="Times New Roman"/>
          <w:sz w:val="24"/>
          <w:szCs w:val="24"/>
        </w:rPr>
        <w:t xml:space="preserve"> of Georgia, LLC footprint.</w:t>
      </w:r>
      <w:r w:rsidR="009B3DC8" w:rsidRPr="009B3DC8">
        <w:rPr>
          <w:rFonts w:ascii="Times New Roman" w:hAnsi="Times New Roman" w:cs="Times New Roman"/>
          <w:sz w:val="24"/>
          <w:szCs w:val="24"/>
        </w:rPr>
        <w:t xml:space="preserve">  </w:t>
      </w:r>
      <w:r w:rsidR="009B3DC8" w:rsidRPr="00A305DD">
        <w:rPr>
          <w:rFonts w:ascii="Times New Roman" w:hAnsi="Times New Roman" w:cs="Times New Roman"/>
          <w:sz w:val="24"/>
          <w:szCs w:val="24"/>
        </w:rPr>
        <w:t xml:space="preserve">The </w:t>
      </w:r>
      <w:proofErr w:type="spellStart"/>
      <w:r w:rsidR="009B3DC8" w:rsidRPr="00A305DD">
        <w:rPr>
          <w:rFonts w:ascii="Times New Roman" w:hAnsi="Times New Roman" w:cs="Times New Roman"/>
          <w:sz w:val="24"/>
          <w:szCs w:val="24"/>
        </w:rPr>
        <w:t>Brightspeed</w:t>
      </w:r>
      <w:proofErr w:type="spellEnd"/>
      <w:r w:rsidR="009B3DC8" w:rsidRPr="00A305DD">
        <w:rPr>
          <w:rFonts w:ascii="Times New Roman" w:hAnsi="Times New Roman" w:cs="Times New Roman"/>
          <w:sz w:val="24"/>
          <w:szCs w:val="24"/>
        </w:rPr>
        <w:t xml:space="preserve"> Companies are also active participants in the FCC’s Affordable Connectivity Program (“ACP”), bringing connectivity to low-income households throughout their service areas.</w:t>
      </w:r>
      <w:r w:rsidR="006519B5">
        <w:rPr>
          <w:rStyle w:val="FootnoteReference"/>
          <w:rFonts w:ascii="Times New Roman" w:hAnsi="Times New Roman" w:cs="Times New Roman"/>
          <w:sz w:val="24"/>
          <w:szCs w:val="24"/>
        </w:rPr>
        <w:footnoteReference w:id="7"/>
      </w:r>
      <w:r w:rsidR="003776B2" w:rsidRPr="003776B2">
        <w:t xml:space="preserve"> </w:t>
      </w:r>
      <w:r w:rsidR="00414E2F">
        <w:t xml:space="preserve"> </w:t>
      </w:r>
      <w:r w:rsidR="003776B2" w:rsidRPr="003776B2">
        <w:rPr>
          <w:rFonts w:ascii="Times New Roman" w:hAnsi="Times New Roman" w:cs="Times New Roman"/>
          <w:sz w:val="24"/>
          <w:szCs w:val="24"/>
        </w:rPr>
        <w:t xml:space="preserve">For all new qualifying ACP customers, </w:t>
      </w:r>
      <w:proofErr w:type="spellStart"/>
      <w:r w:rsidR="003776B2" w:rsidRPr="003776B2">
        <w:rPr>
          <w:rFonts w:ascii="Times New Roman" w:hAnsi="Times New Roman" w:cs="Times New Roman"/>
          <w:sz w:val="24"/>
          <w:szCs w:val="24"/>
        </w:rPr>
        <w:t>Brightspeed</w:t>
      </w:r>
      <w:proofErr w:type="spellEnd"/>
      <w:r w:rsidR="003776B2" w:rsidRPr="003776B2">
        <w:rPr>
          <w:rFonts w:ascii="Times New Roman" w:hAnsi="Times New Roman" w:cs="Times New Roman"/>
          <w:sz w:val="24"/>
          <w:szCs w:val="24"/>
        </w:rPr>
        <w:t xml:space="preserve"> provides an additional $30 discount on all </w:t>
      </w:r>
      <w:proofErr w:type="spellStart"/>
      <w:r w:rsidR="003776B2" w:rsidRPr="003776B2">
        <w:rPr>
          <w:rFonts w:ascii="Times New Roman" w:hAnsi="Times New Roman" w:cs="Times New Roman"/>
          <w:sz w:val="24"/>
          <w:szCs w:val="24"/>
        </w:rPr>
        <w:t>Brightspeed</w:t>
      </w:r>
      <w:proofErr w:type="spellEnd"/>
      <w:r w:rsidR="003776B2" w:rsidRPr="003776B2">
        <w:rPr>
          <w:rFonts w:ascii="Times New Roman" w:hAnsi="Times New Roman" w:cs="Times New Roman"/>
          <w:sz w:val="24"/>
          <w:szCs w:val="24"/>
        </w:rPr>
        <w:t xml:space="preserve"> Fiber offers (in addition to the $30 Government subsidy) to offer a free tier of service.</w:t>
      </w:r>
      <w:r w:rsidR="003776B2" w:rsidRPr="003776B2">
        <w:rPr>
          <w:rFonts w:ascii="Times New Roman" w:hAnsi="Times New Roman" w:cs="Times New Roman"/>
          <w:sz w:val="24"/>
          <w:szCs w:val="24"/>
          <w:vertAlign w:val="superscript"/>
        </w:rPr>
        <w:footnoteReference w:id="8"/>
      </w:r>
    </w:p>
    <w:p w14:paraId="3472F232" w14:textId="61F80698" w:rsidR="007D5376" w:rsidRDefault="00FC2789">
      <w:pPr>
        <w:spacing w:after="0" w:line="480" w:lineRule="auto"/>
        <w:ind w:firstLine="720"/>
        <w:jc w:val="both"/>
        <w:rPr>
          <w:rFonts w:ascii="Times New Roman" w:hAnsi="Times New Roman" w:cs="Times New Roman"/>
          <w:bCs/>
          <w:sz w:val="24"/>
          <w:szCs w:val="24"/>
        </w:rPr>
      </w:pPr>
      <w:r w:rsidRPr="00605B37">
        <w:rPr>
          <w:rFonts w:ascii="Times New Roman" w:hAnsi="Times New Roman" w:cs="Times New Roman"/>
          <w:sz w:val="24"/>
          <w:szCs w:val="24"/>
        </w:rPr>
        <w:lastRenderedPageBreak/>
        <w:t xml:space="preserve">Like the 2021 acquisition, this stock transaction is also exempt from the </w:t>
      </w:r>
      <w:r w:rsidR="00605B37" w:rsidRPr="000C7745">
        <w:rPr>
          <w:rFonts w:ascii="Times New Roman" w:hAnsi="Times New Roman" w:cs="Times New Roman"/>
          <w:sz w:val="24"/>
          <w:szCs w:val="24"/>
        </w:rPr>
        <w:t>Commission’s review</w:t>
      </w:r>
      <w:r w:rsidR="00094CF0">
        <w:rPr>
          <w:rFonts w:ascii="Times New Roman" w:hAnsi="Times New Roman" w:cs="Times New Roman"/>
          <w:sz w:val="24"/>
          <w:szCs w:val="24"/>
        </w:rPr>
        <w:t xml:space="preserve"> because</w:t>
      </w:r>
      <w:r w:rsidRPr="00605B37">
        <w:rPr>
          <w:rFonts w:ascii="Times New Roman" w:hAnsi="Times New Roman" w:cs="Times New Roman"/>
          <w:sz w:val="24"/>
          <w:szCs w:val="24"/>
        </w:rPr>
        <w:t xml:space="preserve"> it is a holding company transaction</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9"/>
      </w:r>
      <w:r>
        <w:rPr>
          <w:rFonts w:ascii="Times New Roman" w:hAnsi="Times New Roman" w:cs="Times New Roman"/>
          <w:sz w:val="24"/>
          <w:szCs w:val="24"/>
        </w:rPr>
        <w:t xml:space="preserve">  To the extent the Commission chooses to evaluate the public interest benefits of the proposed issuance of stock, however, it is clear that the proposed issuance of stock will generate positive public interest benefits by supporting </w:t>
      </w:r>
      <w:proofErr w:type="spellStart"/>
      <w:r>
        <w:rPr>
          <w:rFonts w:ascii="Times New Roman" w:hAnsi="Times New Roman" w:cs="Times New Roman"/>
          <w:sz w:val="24"/>
          <w:szCs w:val="24"/>
        </w:rPr>
        <w:t>Brightspeed’s</w:t>
      </w:r>
      <w:proofErr w:type="spellEnd"/>
      <w:r>
        <w:rPr>
          <w:rFonts w:ascii="Times New Roman" w:hAnsi="Times New Roman" w:cs="Times New Roman"/>
          <w:sz w:val="24"/>
          <w:szCs w:val="24"/>
        </w:rPr>
        <w:t xml:space="preserve"> ongoing fiber deployments and copper plant improvements.  Specifically, the proposed investment by CEPSA Holding LLC will facilitate </w:t>
      </w:r>
      <w:proofErr w:type="spellStart"/>
      <w:r>
        <w:rPr>
          <w:rFonts w:ascii="Times New Roman" w:hAnsi="Times New Roman" w:cs="Times New Roman"/>
          <w:sz w:val="24"/>
          <w:szCs w:val="24"/>
        </w:rPr>
        <w:t>Brightspeed’s</w:t>
      </w:r>
      <w:proofErr w:type="spellEnd"/>
      <w:r>
        <w:rPr>
          <w:rFonts w:ascii="Times New Roman" w:hAnsi="Times New Roman" w:cs="Times New Roman"/>
          <w:sz w:val="24"/>
          <w:szCs w:val="24"/>
        </w:rPr>
        <w:t xml:space="preserve"> planned $2 billion investment in </w:t>
      </w:r>
      <w:r>
        <w:rPr>
          <w:rFonts w:ascii="Times New Roman" w:hAnsi="Times New Roman" w:cs="Times New Roman"/>
          <w:bCs/>
          <w:sz w:val="24"/>
          <w:szCs w:val="24"/>
        </w:rPr>
        <w:t xml:space="preserve">fiber deployment across its 20-state footprint—including Georgia—by injecting $500 million of additional investment in the company, enabling it to deleverage its balance sheet and strengthen its financial position, reducing its debt service expense as well as its debt burden and providing access to capital at lower interest rates.  As a result of the proposed issuance of stock, </w:t>
      </w:r>
      <w:proofErr w:type="spellStart"/>
      <w:r>
        <w:rPr>
          <w:rFonts w:ascii="Times New Roman" w:hAnsi="Times New Roman" w:cs="Times New Roman"/>
          <w:bCs/>
          <w:sz w:val="24"/>
          <w:szCs w:val="24"/>
        </w:rPr>
        <w:t>Brightspeed</w:t>
      </w:r>
      <w:proofErr w:type="spellEnd"/>
      <w:r>
        <w:rPr>
          <w:rFonts w:ascii="Times New Roman" w:hAnsi="Times New Roman" w:cs="Times New Roman"/>
          <w:bCs/>
          <w:sz w:val="24"/>
          <w:szCs w:val="24"/>
        </w:rPr>
        <w:t xml:space="preserve"> will be in an even better position to execute on its planned investments for equitable fiber deployment in Georgia.</w:t>
      </w:r>
      <w:r>
        <w:rPr>
          <w:rFonts w:ascii="Times New Roman" w:hAnsi="Times New Roman" w:cs="Times New Roman"/>
          <w:bCs/>
          <w:sz w:val="24"/>
          <w:szCs w:val="24"/>
        </w:rPr>
        <w:tab/>
      </w:r>
    </w:p>
    <w:p w14:paraId="77D36AE0" w14:textId="4641E28D" w:rsidR="007D5376" w:rsidRDefault="00FC2789">
      <w:pPr>
        <w:pStyle w:val="ListParagraph"/>
        <w:numPr>
          <w:ilvl w:val="0"/>
          <w:numId w:val="19"/>
        </w:numPr>
        <w:spacing w:after="0" w:line="480" w:lineRule="auto"/>
        <w:ind w:left="720"/>
        <w:jc w:val="both"/>
        <w:rPr>
          <w:rFonts w:ascii="Times New Roman" w:hAnsi="Times New Roman" w:cs="Times New Roman"/>
          <w:b/>
          <w:sz w:val="24"/>
          <w:szCs w:val="24"/>
        </w:rPr>
      </w:pPr>
      <w:r>
        <w:rPr>
          <w:rFonts w:ascii="Times New Roman" w:hAnsi="Times New Roman" w:cs="Times New Roman"/>
          <w:b/>
          <w:sz w:val="24"/>
          <w:szCs w:val="24"/>
        </w:rPr>
        <w:t>DESCRIPTION OF THE PARTIES</w:t>
      </w:r>
    </w:p>
    <w:p w14:paraId="689D27DE" w14:textId="243CFBDB" w:rsidR="007D5376" w:rsidRDefault="00FC2789">
      <w:pPr>
        <w:pStyle w:val="ListParagraph"/>
        <w:numPr>
          <w:ilvl w:val="0"/>
          <w:numId w:val="21"/>
        </w:numPr>
        <w:spacing w:after="0" w:line="480" w:lineRule="auto"/>
        <w:ind w:left="1080" w:hanging="720"/>
        <w:jc w:val="both"/>
        <w:rPr>
          <w:rFonts w:ascii="Times New Roman" w:hAnsi="Times New Roman" w:cs="Times New Roman"/>
          <w:bCs/>
          <w:sz w:val="24"/>
          <w:szCs w:val="24"/>
          <w:u w:val="single"/>
        </w:rPr>
      </w:pPr>
      <w:r>
        <w:rPr>
          <w:rFonts w:ascii="Times New Roman" w:hAnsi="Times New Roman" w:cs="Times New Roman"/>
          <w:bCs/>
          <w:i/>
          <w:iCs/>
          <w:sz w:val="24"/>
          <w:szCs w:val="24"/>
          <w:u w:val="single"/>
        </w:rPr>
        <w:t>Connect Holding II LLC</w:t>
      </w:r>
    </w:p>
    <w:p w14:paraId="20BB52EB" w14:textId="3C544E45" w:rsidR="007D5376" w:rsidRDefault="00FC2789">
      <w:pPr>
        <w:pStyle w:val="BodyTextFirstIndentDoubleJustified"/>
      </w:pPr>
      <w:r>
        <w:t xml:space="preserve">Connect Holding II LLC is a Delaware limited liability company and the direct parent of the </w:t>
      </w:r>
      <w:proofErr w:type="spellStart"/>
      <w:r>
        <w:t>Brightspeed</w:t>
      </w:r>
      <w:proofErr w:type="spellEnd"/>
      <w:r>
        <w:t xml:space="preserve"> Companies, with its headquarters located at 1120 South Tryon Street, Suite 700, Charlotte, NC 28203.  Connect Holding II is wholly owned by Connect Holding, a Delaware limited liability company.  </w:t>
      </w:r>
      <w:bookmarkStart w:id="0" w:name="_Hlk122427209"/>
      <w:r>
        <w:t>Connect Holding is indirectly controlled by AP IX Connect Holdings, L.P. (“AP IX Connect Holdings”), which currently holds approximately 62 percent of the common stock of Connect Parent</w:t>
      </w:r>
      <w:bookmarkEnd w:id="0"/>
      <w:r>
        <w:t xml:space="preserve"> Corporation</w:t>
      </w:r>
      <w:r w:rsidR="004C4EFA">
        <w:t xml:space="preserve"> (“Connect Parent”)</w:t>
      </w:r>
      <w:r>
        <w:t xml:space="preserve">.  Connect Parent Corporation, in turn, controls Connect Intermediate LLC, a Delaware limited liability company, which, in turn, controls Connect Midco LLC, a Delaware limited liability company, which controls Connect Holding and Connect Holding II.   </w:t>
      </w:r>
    </w:p>
    <w:p w14:paraId="4D68B2E6" w14:textId="760A603D" w:rsidR="007D5376" w:rsidRDefault="00FC2789">
      <w:pPr>
        <w:pStyle w:val="BodyTextFirstIndentDoubleJustified"/>
      </w:pPr>
      <w:bookmarkStart w:id="1" w:name="_Hlk122427522"/>
      <w:r>
        <w:t xml:space="preserve">The remainder of the equity interest in Connect Holding II </w:t>
      </w:r>
      <w:bookmarkEnd w:id="1"/>
      <w:r>
        <w:t xml:space="preserve">is currently held indirectly by: (1) </w:t>
      </w:r>
      <w:bookmarkStart w:id="2" w:name="_Hlk122427223"/>
      <w:r>
        <w:t xml:space="preserve">AP IX Connect Co-Invest Holdings, L.P. </w:t>
      </w:r>
      <w:bookmarkEnd w:id="2"/>
      <w:r>
        <w:t xml:space="preserve">(“Co-Invest Holdings”), which indirectly holds approximately 34 percent of the equity interests in Connect Holding II through its ownership of approximately 34 percent of the common stock of Connect Parent; (2) AIOF II Connect Holdings, L.P. (“AIOF II Holdings”), which indirectly holds less than 5 percent of the equity interests in Connect Holding II through its ownership of less than 5 percent of the common stock of Connect Parent; and (3) </w:t>
      </w:r>
      <w:bookmarkStart w:id="3" w:name="_Hlk122427496"/>
      <w:r>
        <w:t>two directors of Connect Parent and two third parties</w:t>
      </w:r>
      <w:bookmarkEnd w:id="3"/>
      <w:r>
        <w:t xml:space="preserve">, all U.S. persons, which in the aggregate indirectly hold approximately 1 percent of the equity interest in Connect Holding </w:t>
      </w:r>
      <w:r w:rsidR="00745253">
        <w:t xml:space="preserve">II </w:t>
      </w:r>
      <w:r>
        <w:t xml:space="preserve">through </w:t>
      </w:r>
      <w:r w:rsidR="00AD0B52">
        <w:t xml:space="preserve">their aggregate </w:t>
      </w:r>
      <w:r>
        <w:t xml:space="preserve">ownership of approximately 1 percent of the </w:t>
      </w:r>
      <w:r w:rsidR="00AD0B52">
        <w:t>common stock of</w:t>
      </w:r>
      <w:r>
        <w:t xml:space="preserve"> Connect </w:t>
      </w:r>
      <w:r w:rsidR="00AD0B52">
        <w:t>Parent</w:t>
      </w:r>
      <w:r>
        <w:t xml:space="preserve">.  </w:t>
      </w:r>
    </w:p>
    <w:p w14:paraId="132E9920" w14:textId="5F9E771D" w:rsidR="00E704D1" w:rsidRDefault="00FC2789" w:rsidP="004C4EFA">
      <w:pPr>
        <w:pStyle w:val="BodyTextFirstIndentDoubleJustified"/>
      </w:pPr>
      <w:r>
        <w:t xml:space="preserve">The general partner of AP IX Connect Holdings and Co-Invest Holdings—AP IX Connect Holdings GP, LLC—is a Delaware limited liability company, the sole member of which is AP (Connect) </w:t>
      </w:r>
      <w:proofErr w:type="spellStart"/>
      <w:r>
        <w:t>VoteCo</w:t>
      </w:r>
      <w:proofErr w:type="spellEnd"/>
      <w:r>
        <w:t>, LLC (“</w:t>
      </w:r>
      <w:proofErr w:type="spellStart"/>
      <w:r>
        <w:t>VoteCo</w:t>
      </w:r>
      <w:proofErr w:type="spellEnd"/>
      <w:r>
        <w:t xml:space="preserve">”), a Delaware limited liability company.  </w:t>
      </w:r>
      <w:proofErr w:type="spellStart"/>
      <w:r>
        <w:t>VoteCo</w:t>
      </w:r>
      <w:proofErr w:type="spellEnd"/>
      <w:r>
        <w:t xml:space="preserve"> is wholly owned and controlled by its three members, </w:t>
      </w:r>
      <w:r>
        <w:rPr>
          <w:color w:val="000000"/>
        </w:rPr>
        <w:t>each of whom is a natural person and a citizen of the United States</w:t>
      </w:r>
      <w:r>
        <w:t xml:space="preserve">: Scott Kleinman, John </w:t>
      </w:r>
      <w:proofErr w:type="spellStart"/>
      <w:r>
        <w:t>Suydam</w:t>
      </w:r>
      <w:proofErr w:type="spellEnd"/>
      <w:r>
        <w:t xml:space="preserve">, and David </w:t>
      </w:r>
      <w:proofErr w:type="spellStart"/>
      <w:r>
        <w:t>Sambur</w:t>
      </w:r>
      <w:proofErr w:type="spellEnd"/>
      <w:r>
        <w:t xml:space="preserve">.  These three members each have </w:t>
      </w:r>
      <w:proofErr w:type="gramStart"/>
      <w:r>
        <w:t>a one</w:t>
      </w:r>
      <w:proofErr w:type="gramEnd"/>
      <w:r>
        <w:t xml:space="preserve">-third interest in </w:t>
      </w:r>
      <w:proofErr w:type="spellStart"/>
      <w:r>
        <w:t>VoteCo</w:t>
      </w:r>
      <w:proofErr w:type="spellEnd"/>
      <w:r>
        <w:t>.  No other entity or individual currently owns a 10 percent or greater direct or indirect equity or voting interest in Connect Holding II.</w:t>
      </w:r>
    </w:p>
    <w:p w14:paraId="13C89497" w14:textId="4B309378" w:rsidR="007D5376" w:rsidRDefault="00FC2789">
      <w:pPr>
        <w:pStyle w:val="BodyTextFirstIndentDoubleJustified"/>
        <w:numPr>
          <w:ilvl w:val="0"/>
          <w:numId w:val="21"/>
        </w:numPr>
        <w:ind w:left="1080" w:hanging="720"/>
        <w:rPr>
          <w:u w:val="single"/>
        </w:rPr>
      </w:pPr>
      <w:proofErr w:type="spellStart"/>
      <w:r>
        <w:rPr>
          <w:i/>
          <w:iCs/>
          <w:u w:val="single"/>
        </w:rPr>
        <w:t>Brightspeed</w:t>
      </w:r>
      <w:proofErr w:type="spellEnd"/>
      <w:r>
        <w:rPr>
          <w:i/>
          <w:iCs/>
          <w:u w:val="single"/>
        </w:rPr>
        <w:t xml:space="preserve"> of Georgia, LLC</w:t>
      </w:r>
    </w:p>
    <w:p w14:paraId="63A7C679" w14:textId="30AEAA8A" w:rsidR="002C69AE" w:rsidRDefault="00FC2789" w:rsidP="00467B34">
      <w:pPr>
        <w:pStyle w:val="BodyTextFirstIndentDoubleJustified"/>
      </w:pPr>
      <w:proofErr w:type="spellStart"/>
      <w:r>
        <w:t>Brightspeed</w:t>
      </w:r>
      <w:proofErr w:type="spellEnd"/>
      <w:r>
        <w:t xml:space="preserve"> of Georgia, LLC is an incumbent local exchange carrier certificated by the Commission to provide service in Hinesville, Georgia, including serving four exchanges in Bryan, Liberty, and Long Counties in Southeast Georgia, Southwest of Savanah, Georgia, with its corporate headquarters located at 1120 South Tryon Street, Charlotte, NC 28203.</w:t>
      </w:r>
      <w:r>
        <w:rPr>
          <w:rStyle w:val="FootnoteReference"/>
        </w:rPr>
        <w:footnoteReference w:id="10"/>
      </w:r>
      <w:r>
        <w:t xml:space="preserve">  Additionally, </w:t>
      </w:r>
      <w:proofErr w:type="spellStart"/>
      <w:r>
        <w:t>Brightspeed</w:t>
      </w:r>
      <w:proofErr w:type="spellEnd"/>
      <w:r>
        <w:t xml:space="preserve"> of Georgia is certificated as an eligible telecommunications carrier</w:t>
      </w:r>
      <w:r>
        <w:rPr>
          <w:rStyle w:val="FootnoteReference"/>
        </w:rPr>
        <w:footnoteReference w:id="11"/>
      </w:r>
      <w:r>
        <w:t xml:space="preserve"> and holds a telephone service observing equipment license.</w:t>
      </w:r>
      <w:r>
        <w:rPr>
          <w:rStyle w:val="FootnoteReference"/>
        </w:rPr>
        <w:footnoteReference w:id="12"/>
      </w:r>
    </w:p>
    <w:p w14:paraId="50080969" w14:textId="675B874F" w:rsidR="007D5376" w:rsidRDefault="00FC2789">
      <w:pPr>
        <w:pStyle w:val="BodyTextFirstIndentDoubleJustified"/>
        <w:numPr>
          <w:ilvl w:val="0"/>
          <w:numId w:val="21"/>
        </w:numPr>
        <w:ind w:left="1080" w:hanging="720"/>
        <w:rPr>
          <w:u w:val="single"/>
        </w:rPr>
      </w:pPr>
      <w:proofErr w:type="spellStart"/>
      <w:r>
        <w:rPr>
          <w:i/>
          <w:iCs/>
          <w:u w:val="single"/>
        </w:rPr>
        <w:t>Brightspeed</w:t>
      </w:r>
      <w:proofErr w:type="spellEnd"/>
      <w:r>
        <w:rPr>
          <w:i/>
          <w:iCs/>
          <w:u w:val="single"/>
        </w:rPr>
        <w:t xml:space="preserve"> Broadband, LLC</w:t>
      </w:r>
    </w:p>
    <w:p w14:paraId="627FE480" w14:textId="622CE9AC" w:rsidR="007D5376" w:rsidRDefault="00FC2789">
      <w:pPr>
        <w:pStyle w:val="BodyTextFirstIndentDoubleJustified"/>
      </w:pPr>
      <w:proofErr w:type="spellStart"/>
      <w:r>
        <w:t>Brightspeed</w:t>
      </w:r>
      <w:proofErr w:type="spellEnd"/>
      <w:r>
        <w:t xml:space="preserve"> Broadband, LLC (“</w:t>
      </w:r>
      <w:proofErr w:type="spellStart"/>
      <w:r>
        <w:t>Brightspeed</w:t>
      </w:r>
      <w:proofErr w:type="spellEnd"/>
      <w:r>
        <w:t xml:space="preserve"> Broadband”) is a competitive local exchange carrier, interexchange carrier, with its corporate headquarters located at 1120 South Tryon Street, Charlotte, NC 28203.</w:t>
      </w:r>
      <w:r>
        <w:rPr>
          <w:rStyle w:val="FootnoteReference"/>
        </w:rPr>
        <w:footnoteReference w:id="13"/>
      </w:r>
      <w:r>
        <w:t xml:space="preserve">  </w:t>
      </w:r>
      <w:proofErr w:type="spellStart"/>
      <w:r>
        <w:t>Brightspeed</w:t>
      </w:r>
      <w:proofErr w:type="spellEnd"/>
      <w:r>
        <w:t xml:space="preserve"> Broadband is a direct, wholly owned subsidiary of Connect Holding II. </w:t>
      </w:r>
    </w:p>
    <w:p w14:paraId="5E860B45" w14:textId="692716A7" w:rsidR="007D5376" w:rsidRDefault="00FC2789">
      <w:pPr>
        <w:pStyle w:val="BodyTextFirstIndentDoubleJustified"/>
        <w:numPr>
          <w:ilvl w:val="0"/>
          <w:numId w:val="19"/>
        </w:numPr>
        <w:ind w:left="720"/>
        <w:rPr>
          <w:b/>
          <w:bCs/>
        </w:rPr>
      </w:pPr>
      <w:r>
        <w:rPr>
          <w:rFonts w:eastAsia="Calibri"/>
          <w:b/>
          <w:bCs/>
          <w:iCs/>
        </w:rPr>
        <w:t>CONTACT INFORMATION</w:t>
      </w:r>
    </w:p>
    <w:p w14:paraId="2B026BBB" w14:textId="40AA20CB" w:rsidR="007D5376" w:rsidRDefault="00FC2789">
      <w:pPr>
        <w:pStyle w:val="BodyTextFirstIndentDoubleJustified"/>
        <w:ind w:left="360" w:firstLine="0"/>
        <w:rPr>
          <w:rFonts w:eastAsia="Calibri"/>
          <w:iCs/>
        </w:rPr>
      </w:pPr>
      <w:r>
        <w:rPr>
          <w:rFonts w:eastAsia="Calibri"/>
          <w:iCs/>
        </w:rPr>
        <w:t>All communications and correspondence concerning this Application should be directed to:</w:t>
      </w:r>
    </w:p>
    <w:p w14:paraId="6C66BAFB" w14:textId="77777777" w:rsidR="007D5376" w:rsidRDefault="00FC2789">
      <w:pPr>
        <w:pStyle w:val="BodyTextFirstIndentDoubleJustified"/>
        <w:spacing w:line="240" w:lineRule="auto"/>
        <w:ind w:firstLine="0"/>
      </w:pPr>
      <w:r>
        <w:tab/>
        <w:t>Newton M. Galloway</w:t>
      </w:r>
    </w:p>
    <w:p w14:paraId="3C201DDA" w14:textId="77777777" w:rsidR="007D5376" w:rsidRPr="004C4EFA" w:rsidRDefault="00FC2789">
      <w:pPr>
        <w:pStyle w:val="BodyTextFirstIndentDoubleJustified"/>
        <w:spacing w:line="240" w:lineRule="auto"/>
        <w:ind w:firstLine="0"/>
        <w:rPr>
          <w:b/>
          <w:bCs/>
        </w:rPr>
      </w:pPr>
      <w:r>
        <w:tab/>
      </w:r>
      <w:r w:rsidRPr="004C4EFA">
        <w:rPr>
          <w:b/>
          <w:bCs/>
        </w:rPr>
        <w:t>Galloway &amp; Lyndall, LLP</w:t>
      </w:r>
    </w:p>
    <w:p w14:paraId="372618FA" w14:textId="77777777" w:rsidR="007D5376" w:rsidRDefault="00FC2789">
      <w:pPr>
        <w:pStyle w:val="BodyTextFirstIndentDoubleJustified"/>
        <w:spacing w:line="240" w:lineRule="auto"/>
        <w:ind w:firstLine="0"/>
      </w:pPr>
      <w:r>
        <w:tab/>
        <w:t>The Lewis-Mills House</w:t>
      </w:r>
    </w:p>
    <w:p w14:paraId="4B98EE0F" w14:textId="77777777" w:rsidR="007D5376" w:rsidRDefault="00FC2789">
      <w:pPr>
        <w:pStyle w:val="BodyTextFirstIndentDoubleJustified"/>
        <w:spacing w:line="240" w:lineRule="auto"/>
      </w:pPr>
      <w:r>
        <w:t>406 North Hill Street</w:t>
      </w:r>
    </w:p>
    <w:p w14:paraId="44F19AFA" w14:textId="77777777" w:rsidR="007D5376" w:rsidRDefault="00FC2789">
      <w:pPr>
        <w:pStyle w:val="BodyTextFirstIndentDoubleJustified"/>
        <w:spacing w:line="240" w:lineRule="auto"/>
        <w:ind w:firstLine="0"/>
      </w:pPr>
      <w:r>
        <w:tab/>
        <w:t>Griffin, GA 30223</w:t>
      </w:r>
    </w:p>
    <w:p w14:paraId="03D34762" w14:textId="77777777" w:rsidR="007D5376" w:rsidRDefault="00FC2789">
      <w:pPr>
        <w:pStyle w:val="BodyTextFirstIndentDoubleJustified"/>
        <w:spacing w:line="240" w:lineRule="auto"/>
        <w:ind w:firstLine="0"/>
      </w:pPr>
      <w:r>
        <w:tab/>
        <w:t>Tel: (770) 233-6230)</w:t>
      </w:r>
    </w:p>
    <w:p w14:paraId="5B6636EB" w14:textId="77777777" w:rsidR="007D5376" w:rsidRDefault="00FC2789">
      <w:pPr>
        <w:pStyle w:val="BodyTextFirstIndentDoubleJustified"/>
        <w:spacing w:line="240" w:lineRule="auto"/>
        <w:ind w:firstLine="0"/>
      </w:pPr>
      <w:r>
        <w:tab/>
        <w:t>Fax: (770) 233-6231</w:t>
      </w:r>
    </w:p>
    <w:p w14:paraId="7B55B7AC" w14:textId="77777777" w:rsidR="007D5376" w:rsidRDefault="00FC2789">
      <w:pPr>
        <w:pStyle w:val="BodyTextFirstIndentDoubleJustified"/>
        <w:spacing w:line="240" w:lineRule="auto"/>
        <w:ind w:firstLine="0"/>
      </w:pPr>
      <w:r>
        <w:tab/>
      </w:r>
      <w:hyperlink r:id="rId8" w:history="1">
        <w:r>
          <w:rPr>
            <w:rStyle w:val="Hyperlink"/>
          </w:rPr>
          <w:t>ngalloway@gallyn-law.com</w:t>
        </w:r>
      </w:hyperlink>
    </w:p>
    <w:p w14:paraId="22744DAD" w14:textId="60FB9671" w:rsidR="007D5376" w:rsidRDefault="007D5376">
      <w:pPr>
        <w:pStyle w:val="BodyTextFirstIndentDoubleJustified"/>
        <w:spacing w:line="240" w:lineRule="auto"/>
        <w:ind w:firstLine="0"/>
      </w:pPr>
    </w:p>
    <w:p w14:paraId="7DA8B0A3" w14:textId="3A812743" w:rsidR="007D5376" w:rsidRPr="00AF4918" w:rsidRDefault="00FC2789">
      <w:pPr>
        <w:pStyle w:val="BodyTextFirstIndentDoubleJustified"/>
        <w:spacing w:line="240" w:lineRule="auto"/>
        <w:ind w:firstLine="0"/>
        <w:rPr>
          <w:i/>
          <w:iCs/>
        </w:rPr>
      </w:pPr>
      <w:r>
        <w:tab/>
      </w:r>
      <w:r>
        <w:rPr>
          <w:i/>
          <w:iCs/>
        </w:rPr>
        <w:t>with copies to:</w:t>
      </w:r>
      <w:r w:rsidR="00EE3AA3">
        <w:t xml:space="preserve"> </w:t>
      </w:r>
    </w:p>
    <w:p w14:paraId="1D1273AE" w14:textId="77777777" w:rsidR="007D5376" w:rsidRDefault="007D5376">
      <w:pPr>
        <w:pStyle w:val="BodyTextFirstIndentDoubleJustified"/>
        <w:spacing w:line="240" w:lineRule="auto"/>
        <w:ind w:firstLine="0"/>
      </w:pPr>
    </w:p>
    <w:p w14:paraId="67EC8DAF" w14:textId="77777777" w:rsidR="007D5376" w:rsidRDefault="00FC2789">
      <w:pPr>
        <w:spacing w:after="0"/>
        <w:ind w:firstLine="710"/>
        <w:contextualSpacing/>
        <w:rPr>
          <w:rFonts w:ascii="Times New Roman" w:hAnsi="Times New Roman" w:cs="Times New Roman"/>
          <w:sz w:val="24"/>
          <w:szCs w:val="24"/>
        </w:rPr>
      </w:pPr>
      <w:r>
        <w:rPr>
          <w:rFonts w:ascii="Times New Roman" w:hAnsi="Times New Roman" w:cs="Times New Roman"/>
          <w:sz w:val="24"/>
          <w:szCs w:val="24"/>
        </w:rPr>
        <w:t>Howard J. Symons</w:t>
      </w:r>
    </w:p>
    <w:p w14:paraId="79046A9B" w14:textId="77777777" w:rsidR="007D5376" w:rsidRDefault="00FC2789">
      <w:pPr>
        <w:spacing w:after="0"/>
        <w:ind w:firstLine="710"/>
        <w:contextualSpacing/>
        <w:rPr>
          <w:rFonts w:ascii="Times New Roman" w:hAnsi="Times New Roman" w:cs="Times New Roman"/>
          <w:sz w:val="24"/>
          <w:szCs w:val="24"/>
        </w:rPr>
      </w:pPr>
      <w:r>
        <w:rPr>
          <w:rFonts w:ascii="Times New Roman" w:hAnsi="Times New Roman" w:cs="Times New Roman"/>
          <w:sz w:val="24"/>
          <w:szCs w:val="24"/>
        </w:rPr>
        <w:t>John L. Flynn</w:t>
      </w:r>
    </w:p>
    <w:p w14:paraId="397ABC10" w14:textId="77777777" w:rsidR="007D5376" w:rsidRPr="004C4EFA" w:rsidRDefault="00FC2789">
      <w:pPr>
        <w:spacing w:after="0"/>
        <w:ind w:firstLine="710"/>
        <w:contextualSpacing/>
        <w:rPr>
          <w:rFonts w:ascii="Times New Roman" w:hAnsi="Times New Roman" w:cs="Times New Roman"/>
          <w:b/>
          <w:bCs/>
          <w:sz w:val="24"/>
          <w:szCs w:val="24"/>
        </w:rPr>
      </w:pPr>
      <w:r w:rsidRPr="004C4EFA">
        <w:rPr>
          <w:rFonts w:ascii="Times New Roman" w:hAnsi="Times New Roman" w:cs="Times New Roman"/>
          <w:b/>
          <w:bCs/>
          <w:sz w:val="24"/>
          <w:szCs w:val="24"/>
        </w:rPr>
        <w:t>Jenner &amp; Block LLP</w:t>
      </w:r>
    </w:p>
    <w:p w14:paraId="348D801D" w14:textId="77777777" w:rsidR="007D5376" w:rsidRDefault="00FC2789">
      <w:pPr>
        <w:spacing w:after="0"/>
        <w:ind w:firstLine="710"/>
        <w:contextualSpacing/>
        <w:rPr>
          <w:rFonts w:ascii="Times New Roman" w:hAnsi="Times New Roman" w:cs="Times New Roman"/>
          <w:sz w:val="24"/>
          <w:szCs w:val="24"/>
        </w:rPr>
      </w:pPr>
      <w:r>
        <w:rPr>
          <w:rFonts w:ascii="Times New Roman" w:hAnsi="Times New Roman" w:cs="Times New Roman"/>
          <w:sz w:val="24"/>
          <w:szCs w:val="24"/>
        </w:rPr>
        <w:t>1099 New York Avenue, NW</w:t>
      </w:r>
    </w:p>
    <w:p w14:paraId="3378AB42" w14:textId="77777777" w:rsidR="007D5376" w:rsidRDefault="00FC2789">
      <w:pPr>
        <w:spacing w:after="0"/>
        <w:ind w:firstLine="710"/>
        <w:contextualSpacing/>
        <w:rPr>
          <w:rFonts w:ascii="Times New Roman" w:hAnsi="Times New Roman" w:cs="Times New Roman"/>
          <w:sz w:val="24"/>
          <w:szCs w:val="24"/>
        </w:rPr>
      </w:pPr>
      <w:r>
        <w:rPr>
          <w:rFonts w:ascii="Times New Roman" w:hAnsi="Times New Roman" w:cs="Times New Roman"/>
          <w:sz w:val="24"/>
          <w:szCs w:val="24"/>
        </w:rPr>
        <w:t>Suite 900</w:t>
      </w:r>
    </w:p>
    <w:p w14:paraId="374ECAD5" w14:textId="77777777" w:rsidR="007D5376" w:rsidRDefault="00FC2789">
      <w:pPr>
        <w:spacing w:after="0"/>
        <w:ind w:firstLine="710"/>
        <w:contextualSpacing/>
        <w:rPr>
          <w:rFonts w:ascii="Times New Roman" w:hAnsi="Times New Roman" w:cs="Times New Roman"/>
          <w:sz w:val="24"/>
          <w:szCs w:val="24"/>
        </w:rPr>
      </w:pPr>
      <w:r>
        <w:rPr>
          <w:rFonts w:ascii="Times New Roman" w:hAnsi="Times New Roman" w:cs="Times New Roman"/>
          <w:sz w:val="24"/>
          <w:szCs w:val="24"/>
        </w:rPr>
        <w:t>Washington, DC 20001</w:t>
      </w:r>
    </w:p>
    <w:p w14:paraId="64C82EA2" w14:textId="77777777" w:rsidR="007D5376" w:rsidRDefault="00FC2789">
      <w:pPr>
        <w:spacing w:after="0"/>
        <w:ind w:firstLine="710"/>
        <w:contextualSpacing/>
        <w:rPr>
          <w:rFonts w:ascii="Times New Roman" w:hAnsi="Times New Roman" w:cs="Times New Roman"/>
          <w:sz w:val="24"/>
          <w:szCs w:val="24"/>
        </w:rPr>
      </w:pPr>
      <w:r>
        <w:rPr>
          <w:rFonts w:ascii="Times New Roman" w:hAnsi="Times New Roman" w:cs="Times New Roman"/>
          <w:sz w:val="24"/>
          <w:szCs w:val="24"/>
        </w:rPr>
        <w:t>Tel.: (202) 639-6000</w:t>
      </w:r>
    </w:p>
    <w:p w14:paraId="6EB1F436" w14:textId="77777777" w:rsidR="007D5376" w:rsidRDefault="00FC2789">
      <w:pPr>
        <w:spacing w:after="0"/>
        <w:ind w:firstLine="710"/>
        <w:contextualSpacing/>
        <w:rPr>
          <w:rFonts w:ascii="Times New Roman" w:hAnsi="Times New Roman" w:cs="Times New Roman"/>
          <w:sz w:val="24"/>
          <w:szCs w:val="24"/>
        </w:rPr>
      </w:pPr>
      <w:r>
        <w:rPr>
          <w:rFonts w:ascii="Times New Roman" w:hAnsi="Times New Roman" w:cs="Times New Roman"/>
          <w:sz w:val="24"/>
          <w:szCs w:val="24"/>
        </w:rPr>
        <w:t>Fax: (202) 639-6066</w:t>
      </w:r>
    </w:p>
    <w:p w14:paraId="3BF2A305" w14:textId="04204B0D" w:rsidR="007D5376" w:rsidRDefault="00DF0A39">
      <w:pPr>
        <w:spacing w:after="0"/>
        <w:ind w:firstLine="710"/>
        <w:contextualSpacing/>
        <w:rPr>
          <w:rFonts w:ascii="Times New Roman" w:hAnsi="Times New Roman" w:cs="Times New Roman"/>
          <w:sz w:val="24"/>
          <w:szCs w:val="24"/>
        </w:rPr>
      </w:pPr>
      <w:hyperlink r:id="rId9" w:history="1">
        <w:r w:rsidR="00AF4918" w:rsidRPr="005E7651">
          <w:rPr>
            <w:rStyle w:val="Hyperlink"/>
            <w:rFonts w:ascii="Times New Roman" w:hAnsi="Times New Roman" w:cs="Times New Roman"/>
            <w:sz w:val="24"/>
            <w:szCs w:val="24"/>
          </w:rPr>
          <w:t>hsymons@jenner.com</w:t>
        </w:r>
      </w:hyperlink>
      <w:r w:rsidR="00AF4918">
        <w:rPr>
          <w:rFonts w:ascii="Times New Roman" w:hAnsi="Times New Roman" w:cs="Times New Roman"/>
          <w:sz w:val="24"/>
          <w:szCs w:val="24"/>
        </w:rPr>
        <w:t xml:space="preserve"> </w:t>
      </w:r>
    </w:p>
    <w:p w14:paraId="59B8F3BF" w14:textId="07CBFBED" w:rsidR="007D5376" w:rsidRDefault="00DF0A39">
      <w:pPr>
        <w:pStyle w:val="BodyTextFirstIndentDoubleJustified"/>
        <w:spacing w:line="240" w:lineRule="auto"/>
        <w:ind w:firstLine="710"/>
        <w:rPr>
          <w:rStyle w:val="Hyperlink"/>
        </w:rPr>
      </w:pPr>
      <w:hyperlink r:id="rId10" w:history="1">
        <w:r w:rsidR="00FC2789">
          <w:rPr>
            <w:rStyle w:val="Hyperlink"/>
          </w:rPr>
          <w:t>jflynn@jenner.com</w:t>
        </w:r>
      </w:hyperlink>
    </w:p>
    <w:p w14:paraId="378C6A9F" w14:textId="20E32018" w:rsidR="00AF4918" w:rsidRDefault="00AF4918">
      <w:pPr>
        <w:pStyle w:val="BodyTextFirstIndentDoubleJustified"/>
        <w:spacing w:line="240" w:lineRule="auto"/>
        <w:ind w:firstLine="710"/>
        <w:rPr>
          <w:rStyle w:val="Hyperlink"/>
        </w:rPr>
      </w:pPr>
    </w:p>
    <w:p w14:paraId="72303E3E" w14:textId="77777777" w:rsidR="00AF4918" w:rsidRPr="00AF4918" w:rsidRDefault="00AF4918" w:rsidP="00AF4918">
      <w:pPr>
        <w:pStyle w:val="BodyTextFirstIndentDoubleJustified"/>
        <w:spacing w:line="240" w:lineRule="auto"/>
        <w:ind w:firstLine="706"/>
        <w:contextualSpacing/>
      </w:pPr>
      <w:r w:rsidRPr="00AF4918">
        <w:t xml:space="preserve">Matthew S. </w:t>
      </w:r>
      <w:proofErr w:type="spellStart"/>
      <w:r w:rsidRPr="00AF4918">
        <w:t>DelNero</w:t>
      </w:r>
      <w:proofErr w:type="spellEnd"/>
    </w:p>
    <w:p w14:paraId="3FD0BED1" w14:textId="77777777" w:rsidR="00AF4918" w:rsidRPr="00AF4918" w:rsidRDefault="00AF4918" w:rsidP="00AF4918">
      <w:pPr>
        <w:pStyle w:val="BodyTextFirstIndentDoubleJustified"/>
        <w:spacing w:line="240" w:lineRule="auto"/>
        <w:ind w:firstLine="706"/>
        <w:contextualSpacing/>
      </w:pPr>
      <w:r w:rsidRPr="00AF4918">
        <w:t xml:space="preserve">Jocelyn </w:t>
      </w:r>
      <w:proofErr w:type="spellStart"/>
      <w:r w:rsidRPr="00AF4918">
        <w:t>Jezierny</w:t>
      </w:r>
      <w:proofErr w:type="spellEnd"/>
    </w:p>
    <w:p w14:paraId="46354027" w14:textId="77777777" w:rsidR="00AF4918" w:rsidRPr="00AF4918" w:rsidRDefault="00AF4918" w:rsidP="00AF4918">
      <w:pPr>
        <w:pStyle w:val="BodyTextFirstIndentDoubleJustified"/>
        <w:spacing w:line="240" w:lineRule="auto"/>
        <w:ind w:firstLine="706"/>
        <w:contextualSpacing/>
        <w:rPr>
          <w:b/>
          <w:bCs/>
        </w:rPr>
      </w:pPr>
      <w:r w:rsidRPr="00AF4918">
        <w:rPr>
          <w:b/>
          <w:bCs/>
        </w:rPr>
        <w:t>Covington &amp; Burling LLP</w:t>
      </w:r>
    </w:p>
    <w:p w14:paraId="03EAE50C" w14:textId="77777777" w:rsidR="00AF4918" w:rsidRPr="00AF4918" w:rsidRDefault="00AF4918" w:rsidP="00AF4918">
      <w:pPr>
        <w:pStyle w:val="BodyTextFirstIndentDoubleJustified"/>
        <w:spacing w:line="240" w:lineRule="auto"/>
        <w:ind w:firstLine="706"/>
        <w:contextualSpacing/>
      </w:pPr>
      <w:r w:rsidRPr="00AF4918">
        <w:t>One CityCenter</w:t>
      </w:r>
    </w:p>
    <w:p w14:paraId="6561BEC5" w14:textId="77777777" w:rsidR="00AF4918" w:rsidRPr="00AF4918" w:rsidRDefault="00AF4918" w:rsidP="00AF4918">
      <w:pPr>
        <w:pStyle w:val="BodyTextFirstIndentDoubleJustified"/>
        <w:spacing w:line="240" w:lineRule="auto"/>
        <w:ind w:firstLine="706"/>
        <w:contextualSpacing/>
      </w:pPr>
      <w:r w:rsidRPr="00AF4918">
        <w:t>850 Tenth Street, NW</w:t>
      </w:r>
    </w:p>
    <w:p w14:paraId="71E07B5B" w14:textId="77777777" w:rsidR="00AF4918" w:rsidRPr="00AF4918" w:rsidRDefault="00AF4918" w:rsidP="00AF4918">
      <w:pPr>
        <w:pStyle w:val="BodyTextFirstIndentDoubleJustified"/>
        <w:spacing w:line="240" w:lineRule="auto"/>
        <w:ind w:firstLine="706"/>
        <w:contextualSpacing/>
      </w:pPr>
      <w:r w:rsidRPr="00AF4918">
        <w:t>Washington, DC 20001-4956</w:t>
      </w:r>
    </w:p>
    <w:p w14:paraId="4BE9528F" w14:textId="77777777" w:rsidR="00AF4918" w:rsidRPr="00AF4918" w:rsidRDefault="00AF4918" w:rsidP="00AF4918">
      <w:pPr>
        <w:pStyle w:val="BodyTextFirstIndentDoubleJustified"/>
        <w:spacing w:line="240" w:lineRule="auto"/>
        <w:ind w:firstLine="706"/>
        <w:contextualSpacing/>
      </w:pPr>
      <w:r w:rsidRPr="00AF4918">
        <w:t>Tel.: (202) 662-6000</w:t>
      </w:r>
    </w:p>
    <w:p w14:paraId="51112592" w14:textId="77777777" w:rsidR="00AF4918" w:rsidRPr="00AF4918" w:rsidRDefault="00AF4918" w:rsidP="00AF4918">
      <w:pPr>
        <w:pStyle w:val="BodyTextFirstIndentDoubleJustified"/>
        <w:spacing w:line="240" w:lineRule="auto"/>
        <w:ind w:firstLine="706"/>
        <w:contextualSpacing/>
      </w:pPr>
      <w:r w:rsidRPr="00AF4918">
        <w:t>Fax: (202) 662-6291</w:t>
      </w:r>
    </w:p>
    <w:p w14:paraId="19DB21EA" w14:textId="77777777" w:rsidR="00AF4918" w:rsidRPr="00AF4918" w:rsidRDefault="00DF0A39" w:rsidP="00AF4918">
      <w:pPr>
        <w:pStyle w:val="BodyTextFirstIndentDoubleJustified"/>
        <w:spacing w:line="240" w:lineRule="auto"/>
        <w:ind w:firstLine="706"/>
        <w:contextualSpacing/>
      </w:pPr>
      <w:hyperlink r:id="rId11" w:history="1">
        <w:r w:rsidR="00AF4918" w:rsidRPr="00AF4918">
          <w:rPr>
            <w:rStyle w:val="Hyperlink"/>
          </w:rPr>
          <w:t>mdelnero@cov.com</w:t>
        </w:r>
      </w:hyperlink>
      <w:r w:rsidR="00AF4918" w:rsidRPr="00AF4918">
        <w:t xml:space="preserve"> </w:t>
      </w:r>
    </w:p>
    <w:p w14:paraId="7F29760A" w14:textId="3B5D1641" w:rsidR="007D5376" w:rsidRDefault="00DF0A39" w:rsidP="00AF4918">
      <w:pPr>
        <w:pStyle w:val="BodyTextFirstIndentDoubleJustified"/>
        <w:spacing w:after="240" w:line="240" w:lineRule="auto"/>
        <w:ind w:firstLine="706"/>
      </w:pPr>
      <w:hyperlink r:id="rId12" w:history="1">
        <w:r w:rsidR="00AF4918" w:rsidRPr="00AF4918">
          <w:rPr>
            <w:rStyle w:val="Hyperlink"/>
          </w:rPr>
          <w:t>jjezierny@cov.com</w:t>
        </w:r>
      </w:hyperlink>
      <w:r w:rsidR="00AF4918" w:rsidRPr="00AF4918">
        <w:t xml:space="preserve"> </w:t>
      </w:r>
    </w:p>
    <w:p w14:paraId="350FC220" w14:textId="788F9352" w:rsidR="007D5376" w:rsidRDefault="00FC2789">
      <w:pPr>
        <w:pStyle w:val="BodyTextFirstIndentDoubleJustified"/>
        <w:numPr>
          <w:ilvl w:val="0"/>
          <w:numId w:val="19"/>
        </w:numPr>
        <w:ind w:left="720"/>
        <w:rPr>
          <w:b/>
          <w:bCs/>
        </w:rPr>
      </w:pPr>
      <w:r>
        <w:rPr>
          <w:b/>
          <w:bCs/>
        </w:rPr>
        <w:t>DESCRIPTION OF THE PROPOSED ISSUANCE</w:t>
      </w:r>
    </w:p>
    <w:p w14:paraId="0DC81E26" w14:textId="45D1F7F4" w:rsidR="00D73BE0" w:rsidRDefault="00FC2789" w:rsidP="005B24D1">
      <w:pPr>
        <w:pStyle w:val="BodyTextFirstIndentDoubleJustified"/>
      </w:pPr>
      <w:r>
        <w:t xml:space="preserve">On November 22, 2022, Connect Parent—the indirect parent company of Connect Holding II and the </w:t>
      </w:r>
      <w:proofErr w:type="spellStart"/>
      <w:r>
        <w:t>Brightspeed</w:t>
      </w:r>
      <w:proofErr w:type="spellEnd"/>
      <w:r>
        <w:t xml:space="preserve"> Companies—and CEPSA Holding entered into a stock purchase agreement</w:t>
      </w:r>
      <w:r w:rsidR="005B24D1">
        <w:t>.</w:t>
      </w:r>
      <w:r w:rsidR="003776B2">
        <w:rPr>
          <w:rStyle w:val="FootnoteReference"/>
        </w:rPr>
        <w:footnoteReference w:id="14"/>
      </w:r>
      <w:r w:rsidR="005B24D1">
        <w:t xml:space="preserve">  CEPSA Holding is an investment entity </w:t>
      </w:r>
      <w:r w:rsidR="005B24D1">
        <w:rPr>
          <w:rFonts w:eastAsia="Calibri"/>
          <w:iCs/>
        </w:rPr>
        <w:t xml:space="preserve">organized under the laws of the Government of Abu Dhabi in the United Arab Emirates (“UAE”).  CEPSA Holding is a direct and indirect wholly owned subsidiary of </w:t>
      </w:r>
      <w:proofErr w:type="spellStart"/>
      <w:r w:rsidR="005B24D1">
        <w:rPr>
          <w:rFonts w:eastAsia="Calibri"/>
          <w:iCs/>
        </w:rPr>
        <w:t>Mamoura</w:t>
      </w:r>
      <w:proofErr w:type="spellEnd"/>
      <w:r w:rsidR="005B24D1">
        <w:rPr>
          <w:rFonts w:eastAsia="Calibri"/>
          <w:iCs/>
        </w:rPr>
        <w:t xml:space="preserve"> Diversified Global Holding PJSC (“</w:t>
      </w:r>
      <w:proofErr w:type="spellStart"/>
      <w:r w:rsidR="005B24D1">
        <w:rPr>
          <w:rFonts w:eastAsia="Calibri"/>
          <w:iCs/>
        </w:rPr>
        <w:t>Mamoura</w:t>
      </w:r>
      <w:proofErr w:type="spellEnd"/>
      <w:r w:rsidR="005B24D1">
        <w:rPr>
          <w:rFonts w:eastAsia="Calibri"/>
          <w:iCs/>
        </w:rPr>
        <w:t xml:space="preserve">”), which is a direct wholly owned subsidiary of Mubadala Investment Company PJSC (“Mubadala”), which itself is a public joint stock company that in turn is wholly owned by the Government of Abu Dhabi in the UAE. </w:t>
      </w:r>
      <w:r>
        <w:t xml:space="preserve"> </w:t>
      </w:r>
      <w:r w:rsidR="005B24D1">
        <w:t>U</w:t>
      </w:r>
      <w:r>
        <w:t>nder</w:t>
      </w:r>
      <w:r w:rsidR="005B24D1">
        <w:t xml:space="preserve"> the terms of the stock purchase agreement,</w:t>
      </w:r>
      <w:r>
        <w:t xml:space="preserve"> CEPSA Holding will receive 500,000 shares of preferred stock in Connect Parent in exchange for a $500 million investment in Connect Parent, representing an approximate 28 percent equity interest in Connect Parent.  These shares will not have any voting rights and will not be convertible into common stock.  CEPSA Holding will also receive warrants with a de minimis exercise price exchangeable for a 2.5 percent voting interest and a 1.8 percent equity interest in Connect Parent.</w:t>
      </w:r>
      <w:r>
        <w:rPr>
          <w:rStyle w:val="FootnoteReference"/>
        </w:rPr>
        <w:footnoteReference w:id="15"/>
      </w:r>
      <w:r>
        <w:t xml:space="preserve">  </w:t>
      </w:r>
    </w:p>
    <w:p w14:paraId="37139C03" w14:textId="4F29B315" w:rsidR="007D5376" w:rsidRPr="005B24D1" w:rsidRDefault="00FC2789" w:rsidP="005B24D1">
      <w:pPr>
        <w:pStyle w:val="BodyTextFirstIndentDoubleJustified"/>
        <w:rPr>
          <w:rFonts w:eastAsia="Calibri"/>
          <w:iCs/>
        </w:rPr>
      </w:pPr>
      <w:r>
        <w:t xml:space="preserve">Together, the proposed issuance will result in CEPSA Holding receiving an approximate 30 percent indirect economic interest in Connect Holding II and the </w:t>
      </w:r>
      <w:proofErr w:type="spellStart"/>
      <w:r>
        <w:t>Brightspeed</w:t>
      </w:r>
      <w:proofErr w:type="spellEnd"/>
      <w:r>
        <w:t xml:space="preserve"> Companies.  Although the proposed issuance will give CEPSA Holding the right to appoint one out of ten board members of Connect Parent, CEPSA Holding will not have a controlling interest in Connect Holding II or the </w:t>
      </w:r>
      <w:proofErr w:type="spellStart"/>
      <w:r>
        <w:t>Brightspeed</w:t>
      </w:r>
      <w:proofErr w:type="spellEnd"/>
      <w:r>
        <w:t xml:space="preserve"> Companies as a result of the proposed issuance.  In addition, CEPSA Holding is not </w:t>
      </w:r>
      <w:proofErr w:type="gramStart"/>
      <w:r>
        <w:t>anticipated</w:t>
      </w:r>
      <w:proofErr w:type="gramEnd"/>
      <w:r>
        <w:t xml:space="preserve"> to have any role in the management of day-to-day operations of Connect Holding II or the </w:t>
      </w:r>
      <w:proofErr w:type="spellStart"/>
      <w:r>
        <w:t>Brightspeed</w:t>
      </w:r>
      <w:proofErr w:type="spellEnd"/>
      <w:r>
        <w:t xml:space="preserve"> Companies.</w:t>
      </w:r>
    </w:p>
    <w:p w14:paraId="5F889C08" w14:textId="2D6C5E80" w:rsidR="007D5376" w:rsidRDefault="00FC2789" w:rsidP="000C7745">
      <w:pPr>
        <w:pStyle w:val="BodyTextFirstIndentDoubleJustified"/>
        <w:keepNext/>
        <w:numPr>
          <w:ilvl w:val="0"/>
          <w:numId w:val="19"/>
        </w:numPr>
        <w:ind w:left="720"/>
        <w:rPr>
          <w:b/>
          <w:bCs/>
        </w:rPr>
      </w:pPr>
      <w:r>
        <w:rPr>
          <w:b/>
          <w:bCs/>
        </w:rPr>
        <w:t>PUBLIC INTEREST STATEMENT</w:t>
      </w:r>
    </w:p>
    <w:p w14:paraId="3B95C644" w14:textId="08C6B07C" w:rsidR="007D5376" w:rsidRDefault="00B90F1D" w:rsidP="000C7745">
      <w:pPr>
        <w:keepNext/>
        <w:spacing w:after="0" w:line="480" w:lineRule="auto"/>
        <w:ind w:firstLine="720"/>
        <w:jc w:val="both"/>
        <w:textAlignment w:val="baseline"/>
        <w:rPr>
          <w:rFonts w:ascii="Times New Roman" w:hAnsi="Times New Roman" w:cs="Times New Roman"/>
          <w:bCs/>
          <w:sz w:val="24"/>
          <w:szCs w:val="24"/>
        </w:rPr>
      </w:pPr>
      <w:r>
        <w:rPr>
          <w:rFonts w:ascii="Times New Roman" w:hAnsi="Times New Roman" w:cs="Times New Roman"/>
          <w:bCs/>
          <w:sz w:val="24"/>
          <w:szCs w:val="24"/>
        </w:rPr>
        <w:t xml:space="preserve">To the extent necessary, </w:t>
      </w:r>
      <w:r w:rsidR="00FC2789">
        <w:rPr>
          <w:rFonts w:ascii="Times New Roman" w:hAnsi="Times New Roman" w:cs="Times New Roman"/>
          <w:bCs/>
          <w:sz w:val="24"/>
          <w:szCs w:val="24"/>
        </w:rPr>
        <w:t xml:space="preserve">Connect Holding II respectfully requests approval for a stock transaction that will result in CEPSA Holding, an entity organized under the laws of the Government of Abu Dhabi in the UAE, together with its parent entities </w:t>
      </w:r>
      <w:proofErr w:type="spellStart"/>
      <w:r w:rsidR="00FC2789">
        <w:rPr>
          <w:rFonts w:ascii="Times New Roman" w:hAnsi="Times New Roman" w:cs="Times New Roman"/>
          <w:bCs/>
          <w:sz w:val="24"/>
          <w:szCs w:val="24"/>
        </w:rPr>
        <w:t>Mamoura</w:t>
      </w:r>
      <w:proofErr w:type="spellEnd"/>
      <w:r w:rsidR="00FC2789">
        <w:rPr>
          <w:rFonts w:ascii="Times New Roman" w:hAnsi="Times New Roman" w:cs="Times New Roman"/>
          <w:bCs/>
          <w:sz w:val="24"/>
          <w:szCs w:val="24"/>
        </w:rPr>
        <w:t xml:space="preserve"> and Mubadala</w:t>
      </w:r>
      <w:r w:rsidR="007C0E8E">
        <w:rPr>
          <w:rFonts w:ascii="Times New Roman" w:hAnsi="Times New Roman" w:cs="Times New Roman"/>
          <w:bCs/>
          <w:sz w:val="24"/>
          <w:szCs w:val="24"/>
        </w:rPr>
        <w:t>,</w:t>
      </w:r>
      <w:r w:rsidR="00FC2789">
        <w:rPr>
          <w:rFonts w:ascii="Times New Roman" w:hAnsi="Times New Roman" w:cs="Times New Roman"/>
          <w:bCs/>
          <w:sz w:val="24"/>
          <w:szCs w:val="24"/>
        </w:rPr>
        <w:t xml:space="preserve"> to indirectly hold a 30 percent equity interest in Connect Holding II.</w:t>
      </w:r>
    </w:p>
    <w:p w14:paraId="7BE3E775" w14:textId="50D50155" w:rsidR="007D5376" w:rsidRDefault="00FC2789">
      <w:pPr>
        <w:spacing w:after="0" w:line="480" w:lineRule="auto"/>
        <w:jc w:val="both"/>
        <w:textAlignment w:val="baseline"/>
        <w:rPr>
          <w:rFonts w:ascii="Times New Roman" w:hAnsi="Times New Roman" w:cs="Times New Roman"/>
          <w:bCs/>
          <w:sz w:val="24"/>
          <w:szCs w:val="24"/>
        </w:rPr>
      </w:pPr>
      <w:r>
        <w:rPr>
          <w:rFonts w:ascii="Times New Roman" w:hAnsi="Times New Roman" w:cs="Times New Roman"/>
          <w:bCs/>
          <w:sz w:val="24"/>
          <w:szCs w:val="24"/>
        </w:rPr>
        <w:tab/>
        <w:t xml:space="preserve">Granting this request will serve the public interest and Georgia consumers by supporting the planned expansion and improvement of the </w:t>
      </w:r>
      <w:proofErr w:type="spellStart"/>
      <w:r>
        <w:rPr>
          <w:rFonts w:ascii="Times New Roman" w:hAnsi="Times New Roman" w:cs="Times New Roman"/>
          <w:bCs/>
          <w:sz w:val="24"/>
          <w:szCs w:val="24"/>
        </w:rPr>
        <w:t>Brightspeed</w:t>
      </w:r>
      <w:proofErr w:type="spellEnd"/>
      <w:r>
        <w:rPr>
          <w:rFonts w:ascii="Times New Roman" w:hAnsi="Times New Roman" w:cs="Times New Roman"/>
          <w:bCs/>
          <w:sz w:val="24"/>
          <w:szCs w:val="24"/>
        </w:rPr>
        <w:t xml:space="preserve"> Companies’ services in Georgia.  In particular, CEPSA Holding’s $500 million investment will facilitate Connect Holding II’s planned $2 billion investment in fiber deployment across its 20-state footprint by enabling the enterprise to deleverage its balance sheet and strengthen its financial position, reducing debt service expense </w:t>
      </w:r>
      <w:r w:rsidR="00A305DD">
        <w:rPr>
          <w:rFonts w:ascii="Times New Roman" w:hAnsi="Times New Roman" w:cs="Times New Roman"/>
          <w:bCs/>
          <w:sz w:val="24"/>
          <w:szCs w:val="24"/>
        </w:rPr>
        <w:t xml:space="preserve">as well as its debt burden </w:t>
      </w:r>
      <w:r>
        <w:rPr>
          <w:rFonts w:ascii="Times New Roman" w:hAnsi="Times New Roman" w:cs="Times New Roman"/>
          <w:bCs/>
          <w:sz w:val="24"/>
          <w:szCs w:val="24"/>
        </w:rPr>
        <w:t xml:space="preserve">and providing access to capital at lower interest rates.  This in turn will support the </w:t>
      </w:r>
      <w:proofErr w:type="spellStart"/>
      <w:r>
        <w:rPr>
          <w:rFonts w:ascii="Times New Roman" w:hAnsi="Times New Roman" w:cs="Times New Roman"/>
          <w:bCs/>
          <w:sz w:val="24"/>
          <w:szCs w:val="24"/>
        </w:rPr>
        <w:t>Brightspeed</w:t>
      </w:r>
      <w:proofErr w:type="spellEnd"/>
      <w:r>
        <w:rPr>
          <w:rFonts w:ascii="Times New Roman" w:hAnsi="Times New Roman" w:cs="Times New Roman"/>
          <w:bCs/>
          <w:sz w:val="24"/>
          <w:szCs w:val="24"/>
        </w:rPr>
        <w:t xml:space="preserve"> Companies’ ongoing efforts to enhance their offerings of advance</w:t>
      </w:r>
      <w:r w:rsidR="00916503">
        <w:rPr>
          <w:rFonts w:ascii="Times New Roman" w:hAnsi="Times New Roman" w:cs="Times New Roman"/>
          <w:bCs/>
          <w:sz w:val="24"/>
          <w:szCs w:val="24"/>
        </w:rPr>
        <w:t>d</w:t>
      </w:r>
      <w:r>
        <w:rPr>
          <w:rFonts w:ascii="Times New Roman" w:hAnsi="Times New Roman" w:cs="Times New Roman"/>
          <w:bCs/>
          <w:sz w:val="24"/>
          <w:szCs w:val="24"/>
        </w:rPr>
        <w:t xml:space="preserve"> services and technologies in Georgia, positioning them as stronger competitors in the provision of broadband services.  </w:t>
      </w:r>
    </w:p>
    <w:p w14:paraId="7A88D8C8" w14:textId="116CC2F0" w:rsidR="00F62115" w:rsidRDefault="00FC2789">
      <w:pPr>
        <w:spacing w:after="0" w:line="480" w:lineRule="auto"/>
        <w:jc w:val="both"/>
        <w:textAlignment w:val="baseline"/>
        <w:rPr>
          <w:rFonts w:ascii="Times New Roman" w:hAnsi="Times New Roman" w:cs="Times New Roman"/>
          <w:bCs/>
          <w:sz w:val="24"/>
          <w:szCs w:val="24"/>
        </w:rPr>
      </w:pPr>
      <w:r>
        <w:rPr>
          <w:rFonts w:ascii="Times New Roman" w:hAnsi="Times New Roman" w:cs="Times New Roman"/>
          <w:bCs/>
          <w:sz w:val="24"/>
          <w:szCs w:val="24"/>
        </w:rPr>
        <w:tab/>
        <w:t xml:space="preserve">The proposed issuance will not require Connect Holding II or any of the </w:t>
      </w:r>
      <w:proofErr w:type="spellStart"/>
      <w:r>
        <w:rPr>
          <w:rFonts w:ascii="Times New Roman" w:hAnsi="Times New Roman" w:cs="Times New Roman"/>
          <w:bCs/>
          <w:sz w:val="24"/>
          <w:szCs w:val="24"/>
        </w:rPr>
        <w:t>Brightspeed</w:t>
      </w:r>
      <w:proofErr w:type="spellEnd"/>
      <w:r>
        <w:rPr>
          <w:rFonts w:ascii="Times New Roman" w:hAnsi="Times New Roman" w:cs="Times New Roman"/>
          <w:bCs/>
          <w:sz w:val="24"/>
          <w:szCs w:val="24"/>
        </w:rPr>
        <w:t xml:space="preserve"> Companies to incur any new debt.  </w:t>
      </w:r>
      <w:proofErr w:type="gramStart"/>
      <w:r>
        <w:rPr>
          <w:rFonts w:ascii="Times New Roman" w:hAnsi="Times New Roman" w:cs="Times New Roman"/>
          <w:bCs/>
          <w:sz w:val="24"/>
          <w:szCs w:val="24"/>
        </w:rPr>
        <w:t>To</w:t>
      </w:r>
      <w:proofErr w:type="gramEnd"/>
      <w:r>
        <w:rPr>
          <w:rFonts w:ascii="Times New Roman" w:hAnsi="Times New Roman" w:cs="Times New Roman"/>
          <w:bCs/>
          <w:sz w:val="24"/>
          <w:szCs w:val="24"/>
        </w:rPr>
        <w:t xml:space="preserve"> the contrary, the issuance will reduce debt.  Moreover, no impact on the </w:t>
      </w:r>
      <w:proofErr w:type="spellStart"/>
      <w:r>
        <w:rPr>
          <w:rFonts w:ascii="Times New Roman" w:hAnsi="Times New Roman" w:cs="Times New Roman"/>
          <w:bCs/>
          <w:sz w:val="24"/>
          <w:szCs w:val="24"/>
        </w:rPr>
        <w:t>Brightspeed</w:t>
      </w:r>
      <w:proofErr w:type="spellEnd"/>
      <w:r>
        <w:rPr>
          <w:rFonts w:ascii="Times New Roman" w:hAnsi="Times New Roman" w:cs="Times New Roman"/>
          <w:bCs/>
          <w:sz w:val="24"/>
          <w:szCs w:val="24"/>
        </w:rPr>
        <w:t xml:space="preserve"> Companies’ jurisdictional rates is anticipated or contemplated as a result of the proposed issuance, which will instead enhance the </w:t>
      </w:r>
      <w:proofErr w:type="spellStart"/>
      <w:r>
        <w:rPr>
          <w:rFonts w:ascii="Times New Roman" w:hAnsi="Times New Roman" w:cs="Times New Roman"/>
          <w:bCs/>
          <w:sz w:val="24"/>
          <w:szCs w:val="24"/>
        </w:rPr>
        <w:t>Brightspeed</w:t>
      </w:r>
      <w:proofErr w:type="spellEnd"/>
      <w:r>
        <w:rPr>
          <w:rFonts w:ascii="Times New Roman" w:hAnsi="Times New Roman" w:cs="Times New Roman"/>
          <w:bCs/>
          <w:sz w:val="24"/>
          <w:szCs w:val="24"/>
        </w:rPr>
        <w:t xml:space="preserve"> Companies’ ability to access the capital needed to maintain or improve service quality and to upgrade their networks.  Accordingly, the proposed issuance will not impair the ability of the </w:t>
      </w:r>
      <w:proofErr w:type="spellStart"/>
      <w:r>
        <w:rPr>
          <w:rFonts w:ascii="Times New Roman" w:hAnsi="Times New Roman" w:cs="Times New Roman"/>
          <w:bCs/>
          <w:sz w:val="24"/>
          <w:szCs w:val="24"/>
        </w:rPr>
        <w:t>Brightspeed</w:t>
      </w:r>
      <w:proofErr w:type="spellEnd"/>
      <w:r>
        <w:rPr>
          <w:rFonts w:ascii="Times New Roman" w:hAnsi="Times New Roman" w:cs="Times New Roman"/>
          <w:bCs/>
          <w:sz w:val="24"/>
          <w:szCs w:val="24"/>
        </w:rPr>
        <w:t xml:space="preserve"> Companies to perform their services to the public.</w:t>
      </w:r>
    </w:p>
    <w:p w14:paraId="1B9D00A8" w14:textId="066BDA4E" w:rsidR="007D5376" w:rsidRDefault="00FC2789">
      <w:pPr>
        <w:pStyle w:val="ListParagraph"/>
        <w:numPr>
          <w:ilvl w:val="0"/>
          <w:numId w:val="19"/>
        </w:numPr>
        <w:spacing w:after="0" w:line="480" w:lineRule="auto"/>
        <w:ind w:left="720"/>
        <w:jc w:val="both"/>
        <w:rPr>
          <w:rFonts w:ascii="Times New Roman" w:hAnsi="Times New Roman" w:cs="Times New Roman"/>
          <w:b/>
          <w:bCs/>
          <w:sz w:val="24"/>
          <w:szCs w:val="24"/>
        </w:rPr>
      </w:pPr>
      <w:r>
        <w:rPr>
          <w:rFonts w:ascii="Times New Roman" w:hAnsi="Times New Roman" w:cs="Times New Roman"/>
          <w:b/>
          <w:bCs/>
          <w:sz w:val="24"/>
          <w:szCs w:val="24"/>
        </w:rPr>
        <w:t>EXEMPTION UNDER O.C.G.A § 46-2-28</w:t>
      </w:r>
    </w:p>
    <w:p w14:paraId="26E75838" w14:textId="0364879F" w:rsidR="007D5376" w:rsidRDefault="00FC2789">
      <w:pPr>
        <w:spacing w:after="0" w:line="480" w:lineRule="auto"/>
        <w:ind w:firstLine="720"/>
        <w:jc w:val="both"/>
        <w:rPr>
          <w:rFonts w:ascii="Times New Roman" w:hAnsi="Times New Roman" w:cs="Times New Roman"/>
          <w:sz w:val="24"/>
          <w:szCs w:val="24"/>
        </w:rPr>
      </w:pPr>
      <w:bookmarkStart w:id="4" w:name="_Hlk127340014"/>
      <w:r>
        <w:rPr>
          <w:rFonts w:ascii="Times New Roman" w:hAnsi="Times New Roman" w:cs="Times New Roman"/>
          <w:sz w:val="24"/>
          <w:szCs w:val="24"/>
        </w:rPr>
        <w:t>Because the Proposed Transaction occurs only at the holding company level, it is exempt from the approval requirement of O.C.G.A. § 46-2-28.  The Commission’s authority to approve transactions is limited to “companies over which the commission has jurisdiction.”</w:t>
      </w:r>
      <w:r w:rsidR="001314B1">
        <w:rPr>
          <w:rStyle w:val="FootnoteReference"/>
          <w:rFonts w:ascii="Times New Roman" w:hAnsi="Times New Roman" w:cs="Times New Roman"/>
          <w:sz w:val="24"/>
          <w:szCs w:val="24"/>
        </w:rPr>
        <w:footnoteReference w:id="16"/>
      </w:r>
      <w:r>
        <w:rPr>
          <w:rFonts w:ascii="Times New Roman" w:hAnsi="Times New Roman" w:cs="Times New Roman"/>
          <w:sz w:val="24"/>
          <w:szCs w:val="24"/>
        </w:rPr>
        <w:t xml:space="preserve">  And while the Commission’s jurisdiction applies to Georgia “telephone companies,”</w:t>
      </w:r>
      <w:r w:rsidR="001314B1">
        <w:rPr>
          <w:rStyle w:val="FootnoteReference"/>
          <w:rFonts w:ascii="Times New Roman" w:hAnsi="Times New Roman" w:cs="Times New Roman"/>
          <w:sz w:val="24"/>
          <w:szCs w:val="24"/>
        </w:rPr>
        <w:footnoteReference w:id="17"/>
      </w:r>
      <w:r>
        <w:rPr>
          <w:rFonts w:ascii="Times New Roman" w:hAnsi="Times New Roman" w:cs="Times New Roman"/>
          <w:sz w:val="24"/>
          <w:szCs w:val="24"/>
        </w:rPr>
        <w:t xml:space="preserve"> it does </w:t>
      </w:r>
      <w:r w:rsidRPr="00045C4A">
        <w:rPr>
          <w:rFonts w:ascii="Times New Roman" w:hAnsi="Times New Roman" w:cs="Times New Roman"/>
          <w:i/>
          <w:iCs/>
          <w:sz w:val="24"/>
          <w:szCs w:val="24"/>
        </w:rPr>
        <w:t>not</w:t>
      </w:r>
      <w:r>
        <w:rPr>
          <w:rFonts w:ascii="Times New Roman" w:hAnsi="Times New Roman" w:cs="Times New Roman"/>
          <w:sz w:val="24"/>
          <w:szCs w:val="24"/>
        </w:rPr>
        <w:t xml:space="preserve"> extend to </w:t>
      </w:r>
      <w:r w:rsidRPr="00045C4A">
        <w:rPr>
          <w:rFonts w:ascii="Times New Roman" w:hAnsi="Times New Roman" w:cs="Times New Roman"/>
          <w:i/>
          <w:iCs/>
          <w:sz w:val="24"/>
          <w:szCs w:val="24"/>
        </w:rPr>
        <w:t>parent companies</w:t>
      </w:r>
      <w:r>
        <w:rPr>
          <w:rFonts w:ascii="Times New Roman" w:hAnsi="Times New Roman" w:cs="Times New Roman"/>
          <w:sz w:val="24"/>
          <w:szCs w:val="24"/>
        </w:rPr>
        <w:t xml:space="preserve"> of Georgia telephone companies</w:t>
      </w:r>
      <w:r>
        <w:rPr>
          <w:rFonts w:ascii="Times New Roman" w:hAnsi="Times New Roman" w:cs="Times New Roman"/>
          <w:i/>
          <w:iCs/>
          <w:sz w:val="24"/>
          <w:szCs w:val="24"/>
        </w:rPr>
        <w:t>.</w:t>
      </w:r>
      <w:r w:rsidR="001314B1" w:rsidRPr="001314B1">
        <w:rPr>
          <w:rStyle w:val="FootnoteReference"/>
          <w:rFonts w:ascii="Times New Roman" w:hAnsi="Times New Roman" w:cs="Times New Roman"/>
          <w:sz w:val="24"/>
          <w:szCs w:val="24"/>
        </w:rPr>
        <w:footnoteReference w:id="18"/>
      </w:r>
      <w:r>
        <w:rPr>
          <w:rFonts w:ascii="Times New Roman" w:hAnsi="Times New Roman" w:cs="Times New Roman"/>
          <w:sz w:val="24"/>
          <w:szCs w:val="24"/>
        </w:rPr>
        <w:t xml:space="preserve">  Here, the Proposed Issuance is a stock transaction that will occur between a parent company entity, Connect Parent, and an unaffiliated investor, CEPSA Holding.  Neither of these entities is a Georgia telephone company or, for that matter, even incorporated or headquartered in Georgia.  As discussed in detail </w:t>
      </w:r>
      <w:r>
        <w:rPr>
          <w:rFonts w:ascii="Times New Roman" w:hAnsi="Times New Roman" w:cs="Times New Roman"/>
          <w:i/>
          <w:iCs/>
          <w:sz w:val="24"/>
          <w:szCs w:val="24"/>
        </w:rPr>
        <w:t>supra</w:t>
      </w:r>
      <w:r>
        <w:rPr>
          <w:rFonts w:ascii="Times New Roman" w:hAnsi="Times New Roman" w:cs="Times New Roman"/>
          <w:sz w:val="24"/>
          <w:szCs w:val="24"/>
        </w:rPr>
        <w:t xml:space="preserve">, Connect Parent controls Connect Midco LLC, which controls Connect Holding and Connect Holding II. </w:t>
      </w:r>
      <w:r w:rsidR="007C0E8E">
        <w:rPr>
          <w:rFonts w:ascii="Times New Roman" w:hAnsi="Times New Roman" w:cs="Times New Roman"/>
          <w:sz w:val="24"/>
          <w:szCs w:val="24"/>
        </w:rPr>
        <w:t xml:space="preserve"> </w:t>
      </w:r>
      <w:r>
        <w:rPr>
          <w:rFonts w:ascii="Times New Roman" w:hAnsi="Times New Roman" w:cs="Times New Roman"/>
          <w:sz w:val="24"/>
          <w:szCs w:val="24"/>
        </w:rPr>
        <w:t xml:space="preserve">The </w:t>
      </w:r>
      <w:proofErr w:type="spellStart"/>
      <w:r>
        <w:rPr>
          <w:rFonts w:ascii="Times New Roman" w:hAnsi="Times New Roman" w:cs="Times New Roman"/>
          <w:sz w:val="24"/>
          <w:szCs w:val="24"/>
        </w:rPr>
        <w:t>Brightspeed</w:t>
      </w:r>
      <w:proofErr w:type="spellEnd"/>
      <w:r>
        <w:rPr>
          <w:rFonts w:ascii="Times New Roman" w:hAnsi="Times New Roman" w:cs="Times New Roman"/>
          <w:sz w:val="24"/>
          <w:szCs w:val="24"/>
        </w:rPr>
        <w:t xml:space="preserve"> Companies are the subsidiaries of Connect Holding II.  Connect Parent is headquartered at 1120 South Tryon Street, Charlotte, NC 28203.  CEPSA Holding is headquartered at Al </w:t>
      </w:r>
      <w:proofErr w:type="spellStart"/>
      <w:r>
        <w:rPr>
          <w:rFonts w:ascii="Times New Roman" w:hAnsi="Times New Roman" w:cs="Times New Roman"/>
          <w:sz w:val="24"/>
          <w:szCs w:val="24"/>
        </w:rPr>
        <w:t>Mamoura</w:t>
      </w:r>
      <w:proofErr w:type="spellEnd"/>
      <w:r>
        <w:rPr>
          <w:rFonts w:ascii="Times New Roman" w:hAnsi="Times New Roman" w:cs="Times New Roman"/>
          <w:sz w:val="24"/>
          <w:szCs w:val="24"/>
        </w:rPr>
        <w:t xml:space="preserve"> A Building, </w:t>
      </w:r>
      <w:proofErr w:type="spellStart"/>
      <w:r>
        <w:rPr>
          <w:rFonts w:ascii="Times New Roman" w:hAnsi="Times New Roman" w:cs="Times New Roman"/>
          <w:sz w:val="24"/>
          <w:szCs w:val="24"/>
        </w:rPr>
        <w:t>Muroor</w:t>
      </w:r>
      <w:proofErr w:type="spellEnd"/>
      <w:r>
        <w:rPr>
          <w:rFonts w:ascii="Times New Roman" w:hAnsi="Times New Roman" w:cs="Times New Roman"/>
          <w:sz w:val="24"/>
          <w:szCs w:val="24"/>
        </w:rPr>
        <w:t xml:space="preserve"> Road, Abu Dhabi, 45005, United Arab Emirates.</w:t>
      </w:r>
    </w:p>
    <w:p w14:paraId="14302ADF" w14:textId="3EDFAC98" w:rsidR="007D5376" w:rsidRDefault="00FC278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Thus, the Proposed Issuance does not require approval by the Commission because it is outside of the Commission’s jurisdiction.  In the event the Commission nonetheless determines the Proposed Issuance is not exempt, however, the Joint Applicants request its expeditious approval.</w:t>
      </w:r>
    </w:p>
    <w:bookmarkEnd w:id="4"/>
    <w:p w14:paraId="4B43B6A0" w14:textId="267E6E07" w:rsidR="007D5376" w:rsidRDefault="00FC2789">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CONCLUSION</w:t>
      </w:r>
    </w:p>
    <w:p w14:paraId="5B4FD3D7" w14:textId="3850CBF3" w:rsidR="007D5376" w:rsidRDefault="00FC278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For the above and foregoing reasons, Joint Applicants request that:</w:t>
      </w:r>
    </w:p>
    <w:p w14:paraId="0EACEAFE" w14:textId="4E11C97C" w:rsidR="007D5376" w:rsidRDefault="00FC2789">
      <w:pPr>
        <w:pStyle w:val="ListParagraph"/>
        <w:numPr>
          <w:ilvl w:val="0"/>
          <w:numId w:val="2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The above-styled Application be read and considered;</w:t>
      </w:r>
    </w:p>
    <w:p w14:paraId="1B6B6820" w14:textId="04B2E004" w:rsidR="007D5376" w:rsidRDefault="00FC2789">
      <w:pPr>
        <w:pStyle w:val="ListParagraph"/>
        <w:numPr>
          <w:ilvl w:val="0"/>
          <w:numId w:val="2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The Proposed Issuance, pursuant to O.C.G.A. § 46-2-28, be determined to be exempt from Commission approval; and</w:t>
      </w:r>
    </w:p>
    <w:p w14:paraId="48F7A1FA" w14:textId="4475FF8E" w:rsidR="007D5376" w:rsidRDefault="00FC2789">
      <w:pPr>
        <w:pStyle w:val="ListParagraph"/>
        <w:numPr>
          <w:ilvl w:val="0"/>
          <w:numId w:val="2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In the alternative, the Proposed Issuance be expeditiously approved by the Commission.</w:t>
      </w:r>
    </w:p>
    <w:p w14:paraId="0603C3FC" w14:textId="77777777" w:rsidR="00537456" w:rsidRDefault="00537456">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7DD9CACA" w14:textId="6C57F94C" w:rsidR="008A48CA" w:rsidRDefault="008A48CA" w:rsidP="008A48CA">
      <w:p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This </w:t>
      </w:r>
      <w:proofErr w:type="gramStart"/>
      <w:r>
        <w:rPr>
          <w:rFonts w:ascii="Times New Roman" w:hAnsi="Times New Roman" w:cs="Times New Roman"/>
          <w:sz w:val="24"/>
          <w:szCs w:val="24"/>
        </w:rPr>
        <w:t>10</w:t>
      </w:r>
      <w:r w:rsidRPr="008A48CA">
        <w:rPr>
          <w:rFonts w:ascii="Times New Roman" w:hAnsi="Times New Roman" w:cs="Times New Roman"/>
          <w:sz w:val="24"/>
          <w:szCs w:val="24"/>
          <w:vertAlign w:val="superscript"/>
        </w:rPr>
        <w:t>th</w:t>
      </w:r>
      <w:proofErr w:type="gramEnd"/>
      <w:r>
        <w:rPr>
          <w:rFonts w:ascii="Times New Roman" w:hAnsi="Times New Roman" w:cs="Times New Roman"/>
          <w:sz w:val="24"/>
          <w:szCs w:val="24"/>
        </w:rPr>
        <w:t xml:space="preserve"> day of April 2003.</w:t>
      </w:r>
    </w:p>
    <w:p w14:paraId="6E4D3839" w14:textId="44B911FA" w:rsidR="00E1600F" w:rsidRPr="009D1D66" w:rsidRDefault="00E1600F" w:rsidP="009D1D66">
      <w:pPr>
        <w:spacing w:line="240" w:lineRule="auto"/>
        <w:ind w:left="3600" w:firstLine="720"/>
        <w:rPr>
          <w:rFonts w:ascii="Times New Roman" w:hAnsi="Times New Roman" w:cs="Times New Roman"/>
          <w:sz w:val="24"/>
          <w:szCs w:val="24"/>
        </w:rPr>
      </w:pPr>
      <w:r w:rsidRPr="009D1D66">
        <w:rPr>
          <w:rFonts w:ascii="Times New Roman" w:hAnsi="Times New Roman" w:cs="Times New Roman"/>
          <w:sz w:val="24"/>
          <w:szCs w:val="24"/>
        </w:rPr>
        <w:t>GALLOWAY &amp; LYNDALL, LLP</w:t>
      </w:r>
    </w:p>
    <w:p w14:paraId="5F5F7CBE" w14:textId="77777777" w:rsidR="00E1600F" w:rsidRPr="009D1D66" w:rsidRDefault="007855F5" w:rsidP="009D1D66">
      <w:pPr>
        <w:pStyle w:val="ListParagraph"/>
        <w:spacing w:line="240" w:lineRule="auto"/>
        <w:ind w:left="4320"/>
        <w:rPr>
          <w:rFonts w:ascii="Times New Roman" w:hAnsi="Times New Roman" w:cs="Times New Roman"/>
          <w:sz w:val="24"/>
          <w:szCs w:val="24"/>
        </w:rPr>
      </w:pPr>
      <w:r w:rsidRPr="009D1D66">
        <w:rPr>
          <w:rFonts w:ascii="Times New Roman" w:hAnsi="Times New Roman" w:cs="Times New Roman"/>
          <w:sz w:val="24"/>
          <w:szCs w:val="24"/>
        </w:rPr>
        <w:t xml:space="preserve">Counsel for </w:t>
      </w:r>
      <w:r w:rsidR="00E1600F" w:rsidRPr="009D1D66">
        <w:rPr>
          <w:rFonts w:ascii="Times New Roman" w:hAnsi="Times New Roman" w:cs="Times New Roman"/>
          <w:sz w:val="24"/>
          <w:szCs w:val="24"/>
        </w:rPr>
        <w:t xml:space="preserve">Connect Holding II LLC d/b/a </w:t>
      </w:r>
      <w:proofErr w:type="spellStart"/>
      <w:r w:rsidR="00E1600F" w:rsidRPr="009D1D66">
        <w:rPr>
          <w:rFonts w:ascii="Times New Roman" w:hAnsi="Times New Roman" w:cs="Times New Roman"/>
          <w:sz w:val="24"/>
          <w:szCs w:val="24"/>
        </w:rPr>
        <w:t>Brightspeed</w:t>
      </w:r>
      <w:proofErr w:type="spellEnd"/>
      <w:r w:rsidR="00E1600F" w:rsidRPr="009D1D66">
        <w:rPr>
          <w:rFonts w:ascii="Times New Roman" w:hAnsi="Times New Roman" w:cs="Times New Roman"/>
          <w:sz w:val="24"/>
          <w:szCs w:val="24"/>
        </w:rPr>
        <w:t xml:space="preserve">, </w:t>
      </w:r>
      <w:proofErr w:type="spellStart"/>
      <w:r w:rsidR="00E1600F" w:rsidRPr="009D1D66">
        <w:rPr>
          <w:rFonts w:ascii="Times New Roman" w:hAnsi="Times New Roman" w:cs="Times New Roman"/>
          <w:sz w:val="24"/>
          <w:szCs w:val="24"/>
        </w:rPr>
        <w:t>Brightspeed</w:t>
      </w:r>
      <w:proofErr w:type="spellEnd"/>
      <w:r w:rsidR="00E1600F" w:rsidRPr="009D1D66">
        <w:rPr>
          <w:rFonts w:ascii="Times New Roman" w:hAnsi="Times New Roman" w:cs="Times New Roman"/>
          <w:sz w:val="24"/>
          <w:szCs w:val="24"/>
        </w:rPr>
        <w:t xml:space="preserve"> </w:t>
      </w:r>
      <w:proofErr w:type="gramStart"/>
      <w:r w:rsidR="00E1600F" w:rsidRPr="009D1D66">
        <w:rPr>
          <w:rFonts w:ascii="Times New Roman" w:hAnsi="Times New Roman" w:cs="Times New Roman"/>
          <w:sz w:val="24"/>
          <w:szCs w:val="24"/>
        </w:rPr>
        <w:t>Of</w:t>
      </w:r>
      <w:proofErr w:type="gramEnd"/>
      <w:r w:rsidR="00E1600F" w:rsidRPr="009D1D66">
        <w:rPr>
          <w:rFonts w:ascii="Times New Roman" w:hAnsi="Times New Roman" w:cs="Times New Roman"/>
          <w:sz w:val="24"/>
          <w:szCs w:val="24"/>
        </w:rPr>
        <w:t xml:space="preserve"> Georgia, LLC, And </w:t>
      </w:r>
      <w:proofErr w:type="spellStart"/>
      <w:r w:rsidR="00E1600F" w:rsidRPr="009D1D66">
        <w:rPr>
          <w:rFonts w:ascii="Times New Roman" w:hAnsi="Times New Roman" w:cs="Times New Roman"/>
          <w:sz w:val="24"/>
          <w:szCs w:val="24"/>
        </w:rPr>
        <w:t>Brightspeed</w:t>
      </w:r>
      <w:proofErr w:type="spellEnd"/>
      <w:r w:rsidR="00E1600F" w:rsidRPr="009D1D66">
        <w:rPr>
          <w:rFonts w:ascii="Times New Roman" w:hAnsi="Times New Roman" w:cs="Times New Roman"/>
          <w:sz w:val="24"/>
          <w:szCs w:val="24"/>
        </w:rPr>
        <w:t xml:space="preserve"> Broadband, LLC</w:t>
      </w:r>
    </w:p>
    <w:p w14:paraId="03760CB5" w14:textId="77777777" w:rsidR="00E1600F" w:rsidRPr="009D1D66" w:rsidRDefault="00E1600F" w:rsidP="009D1D66">
      <w:pPr>
        <w:spacing w:line="240" w:lineRule="auto"/>
        <w:rPr>
          <w:rFonts w:ascii="Times New Roman" w:hAnsi="Times New Roman" w:cs="Times New Roman"/>
          <w:sz w:val="24"/>
          <w:szCs w:val="24"/>
        </w:rPr>
      </w:pPr>
    </w:p>
    <w:p w14:paraId="753EF5C9" w14:textId="49652115" w:rsidR="00E1600F" w:rsidRPr="0054335F" w:rsidRDefault="0059220B" w:rsidP="0054335F">
      <w:pPr>
        <w:pStyle w:val="ListParagraph"/>
        <w:ind w:left="4320"/>
        <w:rPr>
          <w:rFonts w:ascii="Times New Roman" w:hAnsi="Times New Roman" w:cs="Times New Roman"/>
          <w:sz w:val="24"/>
          <w:szCs w:val="24"/>
        </w:rPr>
      </w:pPr>
      <w:r>
        <w:rPr>
          <w:rFonts w:ascii="Times New Roman" w:hAnsi="Times New Roman" w:cs="Times New Roman"/>
          <w:sz w:val="24"/>
          <w:szCs w:val="24"/>
          <w:u w:val="single"/>
        </w:rPr>
        <w:t>/s/Newton M. Galloway</w:t>
      </w:r>
      <w:r w:rsidR="00E1600F" w:rsidRPr="0054335F">
        <w:rPr>
          <w:rFonts w:ascii="Times New Roman" w:hAnsi="Times New Roman" w:cs="Times New Roman"/>
          <w:sz w:val="24"/>
          <w:szCs w:val="24"/>
        </w:rPr>
        <w:t>_____________________</w:t>
      </w:r>
    </w:p>
    <w:p w14:paraId="219D46FC" w14:textId="77777777" w:rsidR="007855F5" w:rsidRPr="0054335F" w:rsidRDefault="007855F5" w:rsidP="0054335F">
      <w:pPr>
        <w:pStyle w:val="ListParagraph"/>
        <w:ind w:left="4320"/>
        <w:rPr>
          <w:rFonts w:ascii="Times New Roman" w:hAnsi="Times New Roman" w:cs="Times New Roman"/>
          <w:sz w:val="24"/>
          <w:szCs w:val="24"/>
        </w:rPr>
      </w:pPr>
      <w:r w:rsidRPr="0054335F">
        <w:rPr>
          <w:rFonts w:ascii="Times New Roman" w:hAnsi="Times New Roman" w:cs="Times New Roman"/>
          <w:sz w:val="24"/>
          <w:szCs w:val="24"/>
        </w:rPr>
        <w:t>Newton M. Galloway</w:t>
      </w:r>
    </w:p>
    <w:p w14:paraId="29B8FA4E" w14:textId="5A28DB2D" w:rsidR="007855F5" w:rsidRPr="0054335F" w:rsidRDefault="007855F5" w:rsidP="0054335F">
      <w:pPr>
        <w:pStyle w:val="ListParagraph"/>
        <w:ind w:left="4320"/>
        <w:rPr>
          <w:rFonts w:ascii="Times New Roman" w:hAnsi="Times New Roman" w:cs="Times New Roman"/>
          <w:sz w:val="24"/>
          <w:szCs w:val="24"/>
        </w:rPr>
      </w:pPr>
      <w:r w:rsidRPr="0054335F">
        <w:rPr>
          <w:rFonts w:ascii="Times New Roman" w:hAnsi="Times New Roman" w:cs="Times New Roman"/>
          <w:sz w:val="24"/>
          <w:szCs w:val="24"/>
        </w:rPr>
        <w:t>Georgia Bar No.:  283069</w:t>
      </w:r>
    </w:p>
    <w:p w14:paraId="0E0B22C9" w14:textId="2B20440F" w:rsidR="00E1600F" w:rsidRPr="0054335F" w:rsidRDefault="007855F5" w:rsidP="0054335F">
      <w:pPr>
        <w:pStyle w:val="ListParagraph"/>
        <w:ind w:left="4320"/>
        <w:rPr>
          <w:rFonts w:ascii="Times New Roman" w:hAnsi="Times New Roman" w:cs="Times New Roman"/>
          <w:sz w:val="24"/>
          <w:szCs w:val="24"/>
        </w:rPr>
      </w:pPr>
      <w:r w:rsidRPr="0054335F">
        <w:rPr>
          <w:rFonts w:ascii="Times New Roman" w:hAnsi="Times New Roman" w:cs="Times New Roman"/>
          <w:sz w:val="24"/>
          <w:szCs w:val="24"/>
        </w:rPr>
        <w:t>Terri M. Lyndall</w:t>
      </w:r>
    </w:p>
    <w:p w14:paraId="38674420" w14:textId="5F6468FD" w:rsidR="007855F5" w:rsidRPr="009D1D66" w:rsidRDefault="007855F5" w:rsidP="0054335F">
      <w:pPr>
        <w:pStyle w:val="ListParagraph"/>
        <w:ind w:left="4320"/>
      </w:pPr>
      <w:r w:rsidRPr="0054335F">
        <w:rPr>
          <w:rFonts w:ascii="Times New Roman" w:hAnsi="Times New Roman" w:cs="Times New Roman"/>
          <w:sz w:val="24"/>
          <w:szCs w:val="24"/>
        </w:rPr>
        <w:t>Georgia Bar No.: 462235</w:t>
      </w:r>
      <w:r w:rsidRPr="009D1D66">
        <w:tab/>
      </w:r>
    </w:p>
    <w:p w14:paraId="6CAD4588" w14:textId="41AFECE4" w:rsidR="007855F5" w:rsidRPr="009D1D66" w:rsidRDefault="007855F5" w:rsidP="009D1D66">
      <w:pPr>
        <w:spacing w:line="240" w:lineRule="auto"/>
        <w:ind w:firstLine="720"/>
        <w:rPr>
          <w:rFonts w:ascii="Times New Roman" w:hAnsi="Times New Roman" w:cs="Times New Roman"/>
          <w:sz w:val="24"/>
          <w:szCs w:val="24"/>
        </w:rPr>
      </w:pPr>
    </w:p>
    <w:p w14:paraId="4E515E4D" w14:textId="77777777" w:rsidR="007855F5" w:rsidRPr="009D1D66" w:rsidRDefault="007855F5" w:rsidP="0054335F">
      <w:pPr>
        <w:pStyle w:val="ListParagraph"/>
        <w:spacing w:line="240" w:lineRule="auto"/>
        <w:ind w:left="0"/>
        <w:rPr>
          <w:rFonts w:ascii="Times New Roman" w:hAnsi="Times New Roman" w:cs="Times New Roman"/>
          <w:sz w:val="24"/>
          <w:szCs w:val="24"/>
        </w:rPr>
      </w:pPr>
      <w:r w:rsidRPr="009D1D66">
        <w:rPr>
          <w:rFonts w:ascii="Times New Roman" w:hAnsi="Times New Roman" w:cs="Times New Roman"/>
          <w:sz w:val="24"/>
          <w:szCs w:val="24"/>
        </w:rPr>
        <w:t>The Lewis Mills House</w:t>
      </w:r>
    </w:p>
    <w:p w14:paraId="229B9F65" w14:textId="77777777" w:rsidR="007855F5" w:rsidRPr="009D1D66" w:rsidRDefault="007855F5" w:rsidP="0054335F">
      <w:pPr>
        <w:pStyle w:val="ListParagraph"/>
        <w:spacing w:line="240" w:lineRule="auto"/>
        <w:ind w:left="0"/>
        <w:rPr>
          <w:rFonts w:ascii="Times New Roman" w:hAnsi="Times New Roman" w:cs="Times New Roman"/>
          <w:sz w:val="24"/>
          <w:szCs w:val="24"/>
        </w:rPr>
      </w:pPr>
      <w:r w:rsidRPr="009D1D66">
        <w:rPr>
          <w:rFonts w:ascii="Times New Roman" w:hAnsi="Times New Roman" w:cs="Times New Roman"/>
          <w:sz w:val="24"/>
          <w:szCs w:val="24"/>
        </w:rPr>
        <w:t>406 North Hill Street</w:t>
      </w:r>
    </w:p>
    <w:p w14:paraId="473E9CFD" w14:textId="77777777" w:rsidR="007855F5" w:rsidRPr="009D1D66" w:rsidRDefault="007855F5" w:rsidP="0054335F">
      <w:pPr>
        <w:pStyle w:val="ListParagraph"/>
        <w:spacing w:line="240" w:lineRule="auto"/>
        <w:ind w:left="0"/>
        <w:rPr>
          <w:rFonts w:ascii="Times New Roman" w:hAnsi="Times New Roman" w:cs="Times New Roman"/>
          <w:sz w:val="24"/>
          <w:szCs w:val="24"/>
        </w:rPr>
      </w:pPr>
      <w:r w:rsidRPr="009D1D66">
        <w:rPr>
          <w:rFonts w:ascii="Times New Roman" w:hAnsi="Times New Roman" w:cs="Times New Roman"/>
          <w:sz w:val="24"/>
          <w:szCs w:val="24"/>
        </w:rPr>
        <w:t>Griffin, GA  30223</w:t>
      </w:r>
    </w:p>
    <w:p w14:paraId="481971B2" w14:textId="77777777" w:rsidR="007855F5" w:rsidRPr="009D1D66" w:rsidRDefault="007855F5" w:rsidP="0054335F">
      <w:pPr>
        <w:pStyle w:val="ListParagraph"/>
        <w:spacing w:line="240" w:lineRule="auto"/>
        <w:ind w:left="0"/>
        <w:rPr>
          <w:rFonts w:ascii="Times New Roman" w:hAnsi="Times New Roman" w:cs="Times New Roman"/>
          <w:sz w:val="24"/>
          <w:szCs w:val="24"/>
        </w:rPr>
      </w:pPr>
      <w:r w:rsidRPr="009D1D66">
        <w:rPr>
          <w:rFonts w:ascii="Times New Roman" w:hAnsi="Times New Roman" w:cs="Times New Roman"/>
          <w:sz w:val="24"/>
          <w:szCs w:val="24"/>
        </w:rPr>
        <w:t>(770) 233-6230 telephone</w:t>
      </w:r>
    </w:p>
    <w:p w14:paraId="132BA710" w14:textId="77777777" w:rsidR="007855F5" w:rsidRPr="009D1D66" w:rsidRDefault="007855F5" w:rsidP="0054335F">
      <w:pPr>
        <w:pStyle w:val="ListParagraph"/>
        <w:spacing w:line="240" w:lineRule="auto"/>
        <w:ind w:left="0"/>
        <w:rPr>
          <w:rFonts w:ascii="Times New Roman" w:hAnsi="Times New Roman" w:cs="Times New Roman"/>
          <w:sz w:val="24"/>
          <w:szCs w:val="24"/>
        </w:rPr>
      </w:pPr>
      <w:r w:rsidRPr="009D1D66">
        <w:rPr>
          <w:rFonts w:ascii="Times New Roman" w:hAnsi="Times New Roman" w:cs="Times New Roman"/>
          <w:sz w:val="24"/>
          <w:szCs w:val="24"/>
        </w:rPr>
        <w:t>(770) 233-6231 facsimile</w:t>
      </w:r>
    </w:p>
    <w:p w14:paraId="0CB4CBC9" w14:textId="27CB4E82" w:rsidR="007855F5" w:rsidRPr="009D1D66" w:rsidRDefault="00DF0A39" w:rsidP="0054335F">
      <w:pPr>
        <w:pStyle w:val="ListParagraph"/>
        <w:spacing w:line="240" w:lineRule="auto"/>
        <w:ind w:left="0"/>
        <w:rPr>
          <w:rFonts w:ascii="Times New Roman" w:hAnsi="Times New Roman" w:cs="Times New Roman"/>
          <w:sz w:val="24"/>
          <w:szCs w:val="24"/>
        </w:rPr>
      </w:pPr>
      <w:hyperlink r:id="rId13" w:history="1">
        <w:r w:rsidR="009D1D66" w:rsidRPr="0053146B">
          <w:rPr>
            <w:rStyle w:val="Hyperlink"/>
            <w:rFonts w:ascii="Times New Roman" w:hAnsi="Times New Roman" w:cs="Times New Roman"/>
            <w:sz w:val="24"/>
            <w:szCs w:val="24"/>
          </w:rPr>
          <w:t>ngalloway@gallyn-law.com</w:t>
        </w:r>
      </w:hyperlink>
    </w:p>
    <w:p w14:paraId="0EFA8FA0" w14:textId="3B31B9FD" w:rsidR="007855F5" w:rsidRPr="009D1D66" w:rsidRDefault="00DF0A39" w:rsidP="0054335F">
      <w:pPr>
        <w:pStyle w:val="ListParagraph"/>
        <w:spacing w:line="240" w:lineRule="auto"/>
        <w:ind w:left="0"/>
        <w:rPr>
          <w:rFonts w:ascii="Times New Roman" w:hAnsi="Times New Roman" w:cs="Times New Roman"/>
          <w:sz w:val="24"/>
          <w:szCs w:val="24"/>
        </w:rPr>
      </w:pPr>
      <w:hyperlink r:id="rId14" w:history="1">
        <w:r w:rsidR="009D1D66" w:rsidRPr="0053146B">
          <w:rPr>
            <w:rStyle w:val="Hyperlink"/>
            <w:rFonts w:ascii="Times New Roman" w:hAnsi="Times New Roman" w:cs="Times New Roman"/>
            <w:sz w:val="24"/>
            <w:szCs w:val="24"/>
          </w:rPr>
          <w:t>tlyndall@gallyn-law.com</w:t>
        </w:r>
      </w:hyperlink>
    </w:p>
    <w:p w14:paraId="3D64AA0B" w14:textId="77777777" w:rsidR="007855F5" w:rsidRPr="009D1D66" w:rsidRDefault="007855F5" w:rsidP="009D1D66">
      <w:pPr>
        <w:spacing w:line="240" w:lineRule="auto"/>
        <w:rPr>
          <w:rFonts w:ascii="Times New Roman" w:hAnsi="Times New Roman" w:cs="Times New Roman"/>
          <w:sz w:val="24"/>
          <w:szCs w:val="24"/>
        </w:rPr>
      </w:pPr>
    </w:p>
    <w:p w14:paraId="48B35CCC" w14:textId="77777777" w:rsidR="008A48CA" w:rsidRPr="009D1D66" w:rsidRDefault="008A48CA" w:rsidP="009D1D66">
      <w:pPr>
        <w:spacing w:line="240" w:lineRule="auto"/>
        <w:rPr>
          <w:rFonts w:ascii="Times New Roman" w:hAnsi="Times New Roman" w:cs="Times New Roman"/>
          <w:sz w:val="24"/>
          <w:szCs w:val="24"/>
        </w:rPr>
      </w:pPr>
    </w:p>
    <w:sectPr w:rsidR="008A48CA" w:rsidRPr="009D1D66">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1397" w:footer="10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C9714" w14:textId="77777777" w:rsidR="00D04508" w:rsidRDefault="00D04508">
      <w:pPr>
        <w:spacing w:after="0"/>
      </w:pPr>
      <w:r>
        <w:separator/>
      </w:r>
    </w:p>
  </w:endnote>
  <w:endnote w:type="continuationSeparator" w:id="0">
    <w:p w14:paraId="74E4F7DA" w14:textId="77777777" w:rsidR="00D04508" w:rsidRDefault="00D04508">
      <w:pPr>
        <w:spacing w:after="0"/>
      </w:pPr>
      <w:r>
        <w:continuationSeparator/>
      </w:r>
    </w:p>
  </w:endnote>
  <w:endnote w:type="continuationNotice" w:id="1">
    <w:p w14:paraId="5AC0A50C" w14:textId="77777777" w:rsidR="00D04508" w:rsidRDefault="00D045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dy CS)">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28298542"/>
      <w:docPartObj>
        <w:docPartGallery w:val="Page Numbers (Bottom of Page)"/>
        <w:docPartUnique/>
      </w:docPartObj>
    </w:sdtPr>
    <w:sdtEndPr>
      <w:rPr>
        <w:rStyle w:val="PageNumber"/>
      </w:rPr>
    </w:sdtEndPr>
    <w:sdtContent>
      <w:p w14:paraId="4C17B518" w14:textId="188DB3B7" w:rsidR="007D5376" w:rsidRDefault="00FC2789">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48B3582" w14:textId="77777777" w:rsidR="007D5376" w:rsidRDefault="007D5376">
    <w:pPr>
      <w:pStyle w:val="Footer"/>
    </w:pPr>
  </w:p>
  <w:p w14:paraId="2B908343" w14:textId="77777777" w:rsidR="007D5376" w:rsidRDefault="007D5376"/>
  <w:p w14:paraId="62085C4F" w14:textId="77777777" w:rsidR="007D5376" w:rsidRDefault="007D5376"/>
  <w:p w14:paraId="75CA1AA9" w14:textId="77777777" w:rsidR="007D5376" w:rsidRDefault="007D537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44582929"/>
      <w:docPartObj>
        <w:docPartGallery w:val="Page Numbers (Bottom of Page)"/>
        <w:docPartUnique/>
      </w:docPartObj>
    </w:sdtPr>
    <w:sdtEndPr>
      <w:rPr>
        <w:rStyle w:val="PageNumber"/>
        <w:rFonts w:ascii="Times New Roman" w:hAnsi="Times New Roman"/>
        <w:sz w:val="24"/>
        <w:szCs w:val="24"/>
      </w:rPr>
    </w:sdtEndPr>
    <w:sdtContent>
      <w:p w14:paraId="40AC8009" w14:textId="77777777" w:rsidR="007D5376" w:rsidRDefault="00FC2789">
        <w:pPr>
          <w:pStyle w:val="Footer"/>
          <w:jc w:val="center"/>
          <w:rPr>
            <w:rFonts w:ascii="Times New Roman" w:hAnsi="Times New Roman"/>
            <w:sz w:val="24"/>
            <w:szCs w:val="24"/>
          </w:rPr>
        </w:pPr>
        <w:r>
          <w:rPr>
            <w:rStyle w:val="PageNumber"/>
            <w:rFonts w:ascii="Times New Roman" w:hAnsi="Times New Roman"/>
            <w:sz w:val="24"/>
            <w:szCs w:val="24"/>
          </w:rPr>
          <w:fldChar w:fldCharType="begin"/>
        </w:r>
        <w:r>
          <w:rPr>
            <w:rStyle w:val="PageNumber"/>
            <w:rFonts w:ascii="Times New Roman" w:hAnsi="Times New Roman"/>
            <w:sz w:val="24"/>
            <w:szCs w:val="24"/>
          </w:rPr>
          <w:instrText xml:space="preserve"> PAGE </w:instrText>
        </w:r>
        <w:r>
          <w:rPr>
            <w:rStyle w:val="PageNumber"/>
            <w:rFonts w:ascii="Times New Roman" w:hAnsi="Times New Roman"/>
            <w:sz w:val="24"/>
            <w:szCs w:val="24"/>
          </w:rPr>
          <w:fldChar w:fldCharType="separate"/>
        </w:r>
        <w:r>
          <w:rPr>
            <w:rStyle w:val="PageNumber"/>
            <w:rFonts w:ascii="Times New Roman" w:hAnsi="Times New Roman"/>
            <w:noProof/>
            <w:sz w:val="24"/>
            <w:szCs w:val="24"/>
          </w:rPr>
          <w:t>2</w:t>
        </w:r>
        <w:r>
          <w:rPr>
            <w:rStyle w:val="PageNumber"/>
            <w:rFonts w:ascii="Times New Roman" w:hAnsi="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F5A" w14:textId="77777777" w:rsidR="00916503" w:rsidRDefault="00916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9334F" w14:textId="77777777" w:rsidR="00D04508" w:rsidRDefault="00D04508">
      <w:pPr>
        <w:spacing w:after="0"/>
      </w:pPr>
      <w:r>
        <w:separator/>
      </w:r>
    </w:p>
  </w:footnote>
  <w:footnote w:type="continuationSeparator" w:id="0">
    <w:p w14:paraId="7E1BAE88" w14:textId="77777777" w:rsidR="00D04508" w:rsidRDefault="00D04508">
      <w:pPr>
        <w:spacing w:after="0"/>
      </w:pPr>
      <w:r>
        <w:continuationSeparator/>
      </w:r>
    </w:p>
  </w:footnote>
  <w:footnote w:type="continuationNotice" w:id="1">
    <w:p w14:paraId="2F9CD044" w14:textId="77777777" w:rsidR="00D04508" w:rsidRDefault="00D04508">
      <w:pPr>
        <w:spacing w:after="0" w:line="240" w:lineRule="auto"/>
      </w:pPr>
    </w:p>
  </w:footnote>
  <w:footnote w:id="2">
    <w:p w14:paraId="72742434" w14:textId="282940CA" w:rsidR="007D5376" w:rsidRDefault="00FC2789" w:rsidP="008A48CA">
      <w:r>
        <w:rPr>
          <w:rStyle w:val="FootnoteReference"/>
        </w:rPr>
        <w:footnoteRef/>
      </w:r>
      <w:r>
        <w:t xml:space="preserve"> </w:t>
      </w:r>
      <w:r w:rsidR="008A48CA" w:rsidRPr="008A48CA">
        <w:rPr>
          <w:rFonts w:ascii="Times New Roman" w:hAnsi="Times New Roman" w:cs="Times New Roman"/>
        </w:rPr>
        <w:t xml:space="preserve">Connect Holding LLC was the applicant for the transfer of control application because, at the time of those filings, Connect Holding II LLC had not yet been formed.  </w:t>
      </w:r>
      <w:r w:rsidR="008A48CA" w:rsidRPr="008A48CA">
        <w:rPr>
          <w:rFonts w:ascii="Times New Roman" w:hAnsi="Times New Roman" w:cs="Times New Roman"/>
          <w:i/>
          <w:iCs/>
        </w:rPr>
        <w:t>See</w:t>
      </w:r>
      <w:r w:rsidR="008A48CA" w:rsidRPr="008A48CA">
        <w:rPr>
          <w:rFonts w:ascii="Times New Roman" w:hAnsi="Times New Roman" w:cs="Times New Roman"/>
        </w:rPr>
        <w:t xml:space="preserve"> </w:t>
      </w:r>
      <w:r w:rsidR="008A48CA" w:rsidRPr="008A48CA">
        <w:rPr>
          <w:rFonts w:ascii="Times New Roman" w:hAnsi="Times New Roman" w:cs="Times New Roman"/>
          <w:i/>
          <w:iCs/>
        </w:rPr>
        <w:t>Application of Lumen Technologies, Inc. and Connect Holding LLC for Approval of Change of Control</w:t>
      </w:r>
      <w:r w:rsidR="008A48CA" w:rsidRPr="008A48CA">
        <w:rPr>
          <w:rFonts w:ascii="Times New Roman" w:hAnsi="Times New Roman" w:cs="Times New Roman"/>
        </w:rPr>
        <w:t>, Telecommunications Non-Docket</w:t>
      </w:r>
      <w:r w:rsidR="008A48CA" w:rsidRPr="008A48CA">
        <w:rPr>
          <w:rFonts w:ascii="Times New Roman" w:hAnsi="Times New Roman" w:cs="Times New Roman"/>
          <w:i/>
          <w:iCs/>
        </w:rPr>
        <w:t xml:space="preserve"> </w:t>
      </w:r>
      <w:r w:rsidR="008A48CA" w:rsidRPr="008A48CA">
        <w:rPr>
          <w:rFonts w:ascii="Times New Roman" w:hAnsi="Times New Roman" w:cs="Times New Roman"/>
        </w:rPr>
        <w:t>3, Document 187344 (Oct. 11, 2021).</w:t>
      </w:r>
    </w:p>
  </w:footnote>
  <w:footnote w:id="3">
    <w:p w14:paraId="1E0DC811" w14:textId="506F269E" w:rsidR="007D5376" w:rsidRDefault="00FC2789" w:rsidP="003776B2">
      <w:pPr>
        <w:pStyle w:val="FootnoteText"/>
      </w:pPr>
      <w:r>
        <w:rPr>
          <w:rStyle w:val="FootnoteReference"/>
        </w:rPr>
        <w:footnoteRef/>
      </w:r>
      <w:r>
        <w:t xml:space="preserve"> </w:t>
      </w:r>
      <w:r w:rsidR="008A48CA">
        <w:t xml:space="preserve">Certificate No. IL-008; </w:t>
      </w:r>
      <w:r w:rsidR="008A48CA">
        <w:rPr>
          <w:i/>
          <w:iCs/>
        </w:rPr>
        <w:t>See</w:t>
      </w:r>
      <w:r w:rsidR="008A48CA">
        <w:t xml:space="preserve"> </w:t>
      </w:r>
      <w:r w:rsidR="008A48CA" w:rsidRPr="00C507EA">
        <w:rPr>
          <w:i/>
          <w:iCs/>
        </w:rPr>
        <w:t>Letter of Authorization</w:t>
      </w:r>
      <w:r w:rsidR="008A48CA">
        <w:t xml:space="preserve">, </w:t>
      </w:r>
      <w:r w:rsidR="008A48CA" w:rsidRPr="00C507EA">
        <w:t>Telecommunications Non-Docket 3</w:t>
      </w:r>
      <w:r w:rsidR="008A48CA">
        <w:t xml:space="preserve">, Document 187606 (Nov. 9, 2021) and Letter from Ms. Pamela Sherwood, Senior Regulatory &amp; Compliance Counsel, </w:t>
      </w:r>
      <w:proofErr w:type="spellStart"/>
      <w:r w:rsidR="008A48CA">
        <w:t>Brightspeed</w:t>
      </w:r>
      <w:proofErr w:type="spellEnd"/>
      <w:r w:rsidR="008A48CA">
        <w:t xml:space="preserve"> of Georgia, LLC re:  Notification of Name Change, </w:t>
      </w:r>
      <w:r w:rsidR="008A48CA" w:rsidRPr="00C507EA">
        <w:t>Telecommunications Non-Docket 3</w:t>
      </w:r>
      <w:r w:rsidR="008A48CA">
        <w:t>, Document 192087 (Nov. 14, 2021).</w:t>
      </w:r>
    </w:p>
  </w:footnote>
  <w:footnote w:id="4">
    <w:p w14:paraId="0185D11C" w14:textId="16E8F34F" w:rsidR="007D5376" w:rsidRDefault="00FC2789" w:rsidP="003776B2">
      <w:pPr>
        <w:pStyle w:val="FootnoteText"/>
      </w:pPr>
      <w:r>
        <w:rPr>
          <w:rStyle w:val="FootnoteReference"/>
        </w:rPr>
        <w:footnoteRef/>
      </w:r>
      <w:r>
        <w:t xml:space="preserve"> </w:t>
      </w:r>
      <w:r w:rsidR="008A48CA">
        <w:t>Certificate L-7861.</w:t>
      </w:r>
    </w:p>
  </w:footnote>
  <w:footnote w:id="5">
    <w:p w14:paraId="6F5DF06B" w14:textId="25F5E8EC" w:rsidR="007D5376" w:rsidRDefault="00FC2789" w:rsidP="003776B2">
      <w:pPr>
        <w:pStyle w:val="FootnoteText"/>
      </w:pPr>
      <w:r>
        <w:rPr>
          <w:rStyle w:val="FootnoteReference"/>
        </w:rPr>
        <w:footnoteRef/>
      </w:r>
      <w:r>
        <w:t xml:space="preserve"> </w:t>
      </w:r>
      <w:r w:rsidR="008A48CA" w:rsidRPr="00C507EA">
        <w:rPr>
          <w:i/>
          <w:iCs/>
        </w:rPr>
        <w:t>Letter of Authorization</w:t>
      </w:r>
      <w:r w:rsidR="008A48CA">
        <w:t xml:space="preserve">, </w:t>
      </w:r>
      <w:r w:rsidR="008A48CA" w:rsidRPr="00C507EA">
        <w:t>Telecommunications Non-Docket</w:t>
      </w:r>
      <w:r w:rsidR="008A48CA">
        <w:rPr>
          <w:i/>
          <w:iCs/>
        </w:rPr>
        <w:t xml:space="preserve"> </w:t>
      </w:r>
      <w:r w:rsidR="008A48CA" w:rsidRPr="00C507EA">
        <w:t>3</w:t>
      </w:r>
      <w:r w:rsidR="008A48CA">
        <w:t>, Document 187606 (Nov. 9, 2021).</w:t>
      </w:r>
    </w:p>
  </w:footnote>
  <w:footnote w:id="6">
    <w:p w14:paraId="7FE8F020" w14:textId="143E087F" w:rsidR="007D5376" w:rsidRDefault="00FC2789" w:rsidP="003776B2">
      <w:pPr>
        <w:pStyle w:val="FootnoteText"/>
      </w:pPr>
      <w:r>
        <w:rPr>
          <w:rStyle w:val="FootnoteReference"/>
        </w:rPr>
        <w:footnoteRef/>
      </w:r>
      <w:r>
        <w:t xml:space="preserve"> </w:t>
      </w:r>
      <w:r w:rsidR="008A48CA">
        <w:rPr>
          <w:i/>
          <w:iCs/>
        </w:rPr>
        <w:t>See</w:t>
      </w:r>
      <w:r w:rsidR="008A48CA">
        <w:t xml:space="preserve"> </w:t>
      </w:r>
      <w:r w:rsidR="008A48CA" w:rsidRPr="00C507EA">
        <w:rPr>
          <w:i/>
          <w:iCs/>
        </w:rPr>
        <w:t>Application of Lumen Technologies, Inc. and Connect Holding LLC for Approval of Change of Control</w:t>
      </w:r>
      <w:r w:rsidR="008A48CA">
        <w:t xml:space="preserve">, </w:t>
      </w:r>
      <w:r w:rsidR="008A48CA" w:rsidRPr="00C507EA">
        <w:t>Telecommunications Non-Docket 3</w:t>
      </w:r>
      <w:r w:rsidR="008A48CA">
        <w:t>, Document 187344 at 9-14 (Oct. 11, 2021).</w:t>
      </w:r>
    </w:p>
  </w:footnote>
  <w:footnote w:id="7">
    <w:p w14:paraId="19CFF0C8" w14:textId="4D630953" w:rsidR="006519B5" w:rsidRDefault="006519B5" w:rsidP="003776B2">
      <w:pPr>
        <w:pStyle w:val="FootnoteText"/>
      </w:pPr>
      <w:r>
        <w:rPr>
          <w:rStyle w:val="FootnoteReference"/>
        </w:rPr>
        <w:footnoteRef/>
      </w:r>
      <w:r>
        <w:t xml:space="preserve"> </w:t>
      </w:r>
      <w:proofErr w:type="spellStart"/>
      <w:r w:rsidR="00D31C9E" w:rsidRPr="006D14EB">
        <w:t>Brightspeed</w:t>
      </w:r>
      <w:proofErr w:type="spellEnd"/>
      <w:r w:rsidR="00D31C9E" w:rsidRPr="006D14EB">
        <w:t xml:space="preserve">, </w:t>
      </w:r>
      <w:r w:rsidR="00D31C9E" w:rsidRPr="006D14EB">
        <w:rPr>
          <w:i/>
          <w:iCs/>
        </w:rPr>
        <w:t xml:space="preserve">Affordable Connectivity Program </w:t>
      </w:r>
      <w:r w:rsidR="00D31C9E" w:rsidRPr="006D14EB">
        <w:t>(last visited Mar. 24, 2023), https://bit.ly/3JIjDZs.</w:t>
      </w:r>
    </w:p>
  </w:footnote>
  <w:footnote w:id="8">
    <w:p w14:paraId="5832A42F" w14:textId="42652DF2" w:rsidR="003776B2" w:rsidRPr="009C231B" w:rsidRDefault="003776B2" w:rsidP="003776B2">
      <w:pPr>
        <w:pStyle w:val="FootnoteText"/>
      </w:pPr>
      <w:r>
        <w:rPr>
          <w:rStyle w:val="FootnoteReference"/>
        </w:rPr>
        <w:footnoteRef/>
      </w:r>
      <w:r>
        <w:t xml:space="preserve"> </w:t>
      </w:r>
      <w:r w:rsidR="00F26CC0">
        <w:rPr>
          <w:i/>
          <w:iCs/>
        </w:rPr>
        <w:t>Id.</w:t>
      </w:r>
    </w:p>
  </w:footnote>
  <w:footnote w:id="9">
    <w:p w14:paraId="6AB50857" w14:textId="755B6AAA" w:rsidR="007D5376" w:rsidRDefault="00FC2789" w:rsidP="003776B2">
      <w:pPr>
        <w:pStyle w:val="FootnoteText"/>
      </w:pPr>
      <w:r>
        <w:rPr>
          <w:rStyle w:val="FootnoteReference"/>
          <w:szCs w:val="22"/>
        </w:rPr>
        <w:footnoteRef/>
      </w:r>
      <w:r>
        <w:t xml:space="preserve"> O.C.G.A. § 46-2-28(g).</w:t>
      </w:r>
    </w:p>
  </w:footnote>
  <w:footnote w:id="10">
    <w:p w14:paraId="326E9DA3" w14:textId="627158CD" w:rsidR="007D5376" w:rsidRDefault="00FC2789" w:rsidP="003776B2">
      <w:pPr>
        <w:pStyle w:val="FootnoteText"/>
      </w:pPr>
      <w:r>
        <w:rPr>
          <w:rStyle w:val="FootnoteReference"/>
        </w:rPr>
        <w:footnoteRef/>
      </w:r>
      <w:r>
        <w:t xml:space="preserve"> </w:t>
      </w:r>
      <w:r>
        <w:rPr>
          <w:i/>
          <w:iCs/>
        </w:rPr>
        <w:t xml:space="preserve">See </w:t>
      </w:r>
      <w:r>
        <w:t>Certification IL-008.</w:t>
      </w:r>
    </w:p>
  </w:footnote>
  <w:footnote w:id="11">
    <w:p w14:paraId="132A29C1" w14:textId="76585F4B" w:rsidR="007D5376" w:rsidRDefault="00FC2789" w:rsidP="003776B2">
      <w:pPr>
        <w:pStyle w:val="FootnoteText"/>
      </w:pPr>
      <w:r>
        <w:rPr>
          <w:rStyle w:val="FootnoteReference"/>
        </w:rPr>
        <w:footnoteRef/>
      </w:r>
      <w:r>
        <w:t xml:space="preserve"> </w:t>
      </w:r>
      <w:r>
        <w:rPr>
          <w:i/>
          <w:iCs/>
        </w:rPr>
        <w:t xml:space="preserve">See </w:t>
      </w:r>
      <w:r>
        <w:t>Certification No. 7673.</w:t>
      </w:r>
    </w:p>
  </w:footnote>
  <w:footnote w:id="12">
    <w:p w14:paraId="16C4CA6C" w14:textId="3AC748C9" w:rsidR="007D5376" w:rsidRDefault="00FC2789" w:rsidP="003776B2">
      <w:pPr>
        <w:pStyle w:val="FootnoteText"/>
      </w:pPr>
      <w:r>
        <w:rPr>
          <w:rStyle w:val="FootnoteReference"/>
        </w:rPr>
        <w:footnoteRef/>
      </w:r>
      <w:r>
        <w:t xml:space="preserve"> </w:t>
      </w:r>
      <w:r>
        <w:rPr>
          <w:i/>
          <w:iCs/>
        </w:rPr>
        <w:t xml:space="preserve">See </w:t>
      </w:r>
      <w:r>
        <w:t>License No. 435.</w:t>
      </w:r>
    </w:p>
  </w:footnote>
  <w:footnote w:id="13">
    <w:p w14:paraId="72DCEE29" w14:textId="33320B41" w:rsidR="007D5376" w:rsidRDefault="00FC2789" w:rsidP="003776B2">
      <w:pPr>
        <w:pStyle w:val="FootnoteText"/>
      </w:pPr>
      <w:r>
        <w:rPr>
          <w:rStyle w:val="FootnoteReference"/>
        </w:rPr>
        <w:footnoteRef/>
      </w:r>
      <w:r>
        <w:t xml:space="preserve"> </w:t>
      </w:r>
      <w:r>
        <w:rPr>
          <w:i/>
          <w:iCs/>
        </w:rPr>
        <w:t xml:space="preserve">See </w:t>
      </w:r>
      <w:r>
        <w:t>No. 44127</w:t>
      </w:r>
      <w:r w:rsidR="00443CE7">
        <w:t>.</w:t>
      </w:r>
    </w:p>
  </w:footnote>
  <w:footnote w:id="14">
    <w:p w14:paraId="1CE0FE80" w14:textId="7B3B8507" w:rsidR="003776B2" w:rsidRDefault="003776B2" w:rsidP="003776B2">
      <w:pPr>
        <w:pStyle w:val="FootnoteText"/>
      </w:pPr>
      <w:r>
        <w:rPr>
          <w:rStyle w:val="FootnoteReference"/>
        </w:rPr>
        <w:footnoteRef/>
      </w:r>
      <w:r>
        <w:t xml:space="preserve"> </w:t>
      </w:r>
      <w:r w:rsidR="009B1B6C" w:rsidRPr="00045ADE">
        <w:rPr>
          <w:sz w:val="21"/>
          <w:szCs w:val="21"/>
        </w:rPr>
        <w:t xml:space="preserve">On March 16, 2023, </w:t>
      </w:r>
      <w:r w:rsidRPr="00045ADE">
        <w:rPr>
          <w:sz w:val="21"/>
          <w:szCs w:val="21"/>
        </w:rPr>
        <w:t>Connect Holding II filed a petition for declaratory review with the FCC for approval of the proposed issuance</w:t>
      </w:r>
      <w:r w:rsidR="009B1B6C" w:rsidRPr="00045ADE">
        <w:rPr>
          <w:sz w:val="21"/>
          <w:szCs w:val="21"/>
        </w:rPr>
        <w:t xml:space="preserve">.  The petition is currently pending under file number ISP-PDR-20230316-00003, </w:t>
      </w:r>
      <w:hyperlink r:id="rId1" w:history="1">
        <w:r w:rsidR="004C4EFA" w:rsidRPr="00F30D1C">
          <w:rPr>
            <w:rStyle w:val="Hyperlink"/>
            <w:sz w:val="21"/>
            <w:szCs w:val="21"/>
          </w:rPr>
          <w:t>https://bit.ly/3G9SE7Y</w:t>
        </w:r>
      </w:hyperlink>
      <w:r w:rsidR="009B1B6C" w:rsidRPr="00045ADE">
        <w:rPr>
          <w:sz w:val="21"/>
          <w:szCs w:val="21"/>
        </w:rPr>
        <w:t>.</w:t>
      </w:r>
      <w:r w:rsidR="004C4EFA">
        <w:rPr>
          <w:sz w:val="21"/>
          <w:szCs w:val="21"/>
        </w:rPr>
        <w:t xml:space="preserve"> </w:t>
      </w:r>
      <w:r w:rsidR="009B1B6C">
        <w:t xml:space="preserve">  </w:t>
      </w:r>
    </w:p>
  </w:footnote>
  <w:footnote w:id="15">
    <w:p w14:paraId="66391D2B" w14:textId="77777777" w:rsidR="007D5376" w:rsidRDefault="00FC2789" w:rsidP="003776B2">
      <w:pPr>
        <w:pStyle w:val="FootnoteText"/>
      </w:pPr>
      <w:r>
        <w:rPr>
          <w:rStyle w:val="FootnoteReference"/>
          <w:sz w:val="21"/>
          <w:szCs w:val="21"/>
        </w:rPr>
        <w:footnoteRef/>
      </w:r>
      <w:r>
        <w:t xml:space="preserve"> The warrants are subject to adjustment such that the amount of common stock they are exercisable for at any particular time remains at 2.5 percent of the total common stock outstanding (subject to a cap on adjustment when the aggregate market value of shares of common stock issued after the issue date of the warrants is $1.962 billion (amount subject to adjustment)).  At the time of CEPSA Holding’s prospective investment, this would represent approximately $32 million. </w:t>
      </w:r>
    </w:p>
  </w:footnote>
  <w:footnote w:id="16">
    <w:p w14:paraId="6BC589E7" w14:textId="3BF08A97" w:rsidR="001314B1" w:rsidRPr="001314B1" w:rsidRDefault="001314B1">
      <w:pPr>
        <w:pStyle w:val="FootnoteText"/>
        <w:rPr>
          <w:szCs w:val="22"/>
        </w:rPr>
      </w:pPr>
      <w:r w:rsidRPr="001314B1">
        <w:rPr>
          <w:rStyle w:val="FootnoteReference"/>
          <w:szCs w:val="22"/>
        </w:rPr>
        <w:footnoteRef/>
      </w:r>
      <w:r w:rsidRPr="001314B1">
        <w:rPr>
          <w:szCs w:val="22"/>
        </w:rPr>
        <w:t xml:space="preserve"> O.C.G.A. § 46-2-28(a).  </w:t>
      </w:r>
    </w:p>
  </w:footnote>
  <w:footnote w:id="17">
    <w:p w14:paraId="54026B92" w14:textId="354472CB" w:rsidR="001314B1" w:rsidRPr="001314B1" w:rsidRDefault="001314B1">
      <w:pPr>
        <w:pStyle w:val="FootnoteText"/>
        <w:rPr>
          <w:szCs w:val="22"/>
        </w:rPr>
      </w:pPr>
      <w:r w:rsidRPr="001314B1">
        <w:rPr>
          <w:rStyle w:val="FootnoteReference"/>
          <w:szCs w:val="22"/>
        </w:rPr>
        <w:footnoteRef/>
      </w:r>
      <w:r w:rsidRPr="001314B1">
        <w:rPr>
          <w:szCs w:val="22"/>
        </w:rPr>
        <w:t xml:space="preserve"> O.C.G.A. § 46-2-20(a)</w:t>
      </w:r>
    </w:p>
  </w:footnote>
  <w:footnote w:id="18">
    <w:p w14:paraId="1167C720" w14:textId="378159C6" w:rsidR="001314B1" w:rsidRPr="001314B1" w:rsidRDefault="001314B1">
      <w:pPr>
        <w:pStyle w:val="FootnoteText"/>
        <w:rPr>
          <w:i/>
          <w:iCs/>
        </w:rPr>
      </w:pPr>
      <w:r w:rsidRPr="001314B1">
        <w:rPr>
          <w:rStyle w:val="FootnoteReference"/>
          <w:szCs w:val="22"/>
        </w:rPr>
        <w:footnoteRef/>
      </w:r>
      <w:r w:rsidRPr="001314B1">
        <w:rPr>
          <w:szCs w:val="22"/>
        </w:rPr>
        <w:t xml:space="preserve"> </w:t>
      </w:r>
      <w:r w:rsidRPr="001314B1">
        <w:rPr>
          <w:i/>
          <w:iCs/>
          <w:szCs w:val="22"/>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C5C0" w14:textId="77777777" w:rsidR="00916503" w:rsidRDefault="00916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E5E27" w14:textId="77777777" w:rsidR="00650635" w:rsidRDefault="00650635" w:rsidP="0081703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28307" w14:textId="77777777" w:rsidR="007D5376" w:rsidRDefault="00FC2789">
    <w:pPr>
      <w:pStyle w:val="Header"/>
    </w:pPr>
    <w:r>
      <w:rPr>
        <w:noProof/>
      </w:rPr>
      <w:drawing>
        <wp:anchor distT="0" distB="0" distL="114300" distR="114300" simplePos="0" relativeHeight="251659264" behindDoc="0" locked="0" layoutInCell="1" allowOverlap="1" wp14:anchorId="4A332CD7" wp14:editId="284C0C73">
          <wp:simplePos x="0" y="0"/>
          <wp:positionH relativeFrom="column">
            <wp:posOffset>9525</wp:posOffset>
          </wp:positionH>
          <wp:positionV relativeFrom="paragraph">
            <wp:posOffset>-19050</wp:posOffset>
          </wp:positionV>
          <wp:extent cx="2743200" cy="161925"/>
          <wp:effectExtent l="19050" t="0" r="0" b="0"/>
          <wp:wrapNone/>
          <wp:docPr id="8" name="Picture 8" descr="M:\Practice Brochures\2012 Template\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ractice Brochures\2012 Template\logo.jpg"/>
                  <pic:cNvPicPr>
                    <a:picLocks noChangeAspect="1" noChangeArrowheads="1"/>
                  </pic:cNvPicPr>
                </pic:nvPicPr>
                <pic:blipFill>
                  <a:blip r:embed="rId1"/>
                  <a:srcRect/>
                  <a:stretch>
                    <a:fillRect/>
                  </a:stretch>
                </pic:blipFill>
                <pic:spPr bwMode="auto">
                  <a:xfrm>
                    <a:off x="0" y="0"/>
                    <a:ext cx="2743200" cy="161925"/>
                  </a:xfrm>
                  <a:prstGeom prst="rect">
                    <a:avLst/>
                  </a:prstGeom>
                  <a:noFill/>
                  <a:ln w="9525">
                    <a:noFill/>
                    <a:miter lim="800000"/>
                    <a:headEnd/>
                    <a:tailEnd/>
                  </a:ln>
                </pic:spPr>
              </pic:pic>
            </a:graphicData>
          </a:graphic>
        </wp:anchor>
      </w:drawing>
    </w:r>
    <w:r>
      <w:tab/>
    </w:r>
  </w:p>
  <w:p w14:paraId="3789804E" w14:textId="77777777" w:rsidR="007D5376" w:rsidRDefault="007D5376">
    <w:pPr>
      <w:pStyle w:val="Header"/>
    </w:pPr>
  </w:p>
  <w:p w14:paraId="310C053B" w14:textId="77777777" w:rsidR="007D5376" w:rsidRDefault="00FC2789">
    <w:pPr>
      <w:pStyle w:val="Header"/>
    </w:pPr>
    <w:r>
      <w:rPr>
        <w:noProof/>
      </w:rPr>
      <mc:AlternateContent>
        <mc:Choice Requires="wps">
          <w:drawing>
            <wp:anchor distT="0" distB="0" distL="114300" distR="114300" simplePos="0" relativeHeight="251660288" behindDoc="0" locked="0" layoutInCell="1" allowOverlap="1" wp14:anchorId="0886512D" wp14:editId="23E4E412">
              <wp:simplePos x="0" y="0"/>
              <wp:positionH relativeFrom="column">
                <wp:posOffset>19050</wp:posOffset>
              </wp:positionH>
              <wp:positionV relativeFrom="paragraph">
                <wp:posOffset>53975</wp:posOffset>
              </wp:positionV>
              <wp:extent cx="6400800" cy="11430"/>
              <wp:effectExtent l="19050" t="22225" r="19050" b="23495"/>
              <wp:wrapNone/>
              <wp:docPr id="10"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11430"/>
                      </a:xfrm>
                      <a:prstGeom prst="straightConnector1">
                        <a:avLst/>
                      </a:prstGeom>
                      <a:noFill/>
                      <a:ln w="38100">
                        <a:solidFill>
                          <a:schemeClr val="accent2">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14="http://schemas.microsoft.com/office/drawing/2010/main" xmlns:pic="http://schemas.openxmlformats.org/drawingml/2006/picture" xmlns:a="http://schemas.openxmlformats.org/drawingml/2006/main">
          <w:pict>
            <v:shapetype id="_x0000_t32" coordsize="21600,21600" o:oned="t" filled="f" o:spt="32" path="m,l21600,21600e" w14:anchorId="7203884C">
              <v:path fillok="f" arrowok="t" o:connecttype="none"/>
              <o:lock v:ext="edit" shapetype="t"/>
            </v:shapetype>
            <v:shape id="AutoShape 1" style="position:absolute;margin-left:1.5pt;margin-top:4.25pt;width:7in;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7dc3 [3205]" strokeweight="3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E9DC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1FC091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A612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B7E466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69E917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E16283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6B88F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8600F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6888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C42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E5755E"/>
    <w:multiLevelType w:val="hybridMultilevel"/>
    <w:tmpl w:val="ADA89708"/>
    <w:lvl w:ilvl="0" w:tplc="C99018C4">
      <w:start w:val="1"/>
      <w:numFmt w:val="bullet"/>
      <w:lvlText w:val="–"/>
      <w:lvlJc w:val="left"/>
      <w:pPr>
        <w:ind w:left="720" w:hanging="360"/>
      </w:pPr>
      <w:rPr>
        <w:rFonts w:ascii="Arial" w:hAnsi="Arial" w:hint="default"/>
        <w:b/>
        <w:i w:val="0"/>
        <w:color w:val="007DC3" w:themeColor="accent2"/>
        <w:sz w:val="24"/>
      </w:rPr>
    </w:lvl>
    <w:lvl w:ilvl="1" w:tplc="B052B040">
      <w:numFmt w:val="bullet"/>
      <w:lvlText w:val=""/>
      <w:lvlJc w:val="left"/>
      <w:pPr>
        <w:ind w:left="1440" w:hanging="360"/>
      </w:pPr>
      <w:rPr>
        <w:rFonts w:ascii="Symbol" w:hAnsi="Symbol" w:hint="default"/>
        <w:color w:val="0072AD"/>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24277"/>
    <w:multiLevelType w:val="multilevel"/>
    <w:tmpl w:val="58004B0E"/>
    <w:lvl w:ilvl="0">
      <w:start w:val="1"/>
      <w:numFmt w:val="bullet"/>
      <w:lvlText w:val="–"/>
      <w:lvlJc w:val="left"/>
      <w:pPr>
        <w:ind w:left="720" w:hanging="360"/>
      </w:pPr>
      <w:rPr>
        <w:rFonts w:ascii="Arial" w:hAnsi="Arial" w:hint="default"/>
        <w:b/>
        <w:i w:val="0"/>
        <w:color w:val="007DC3"/>
        <w:sz w:val="24"/>
      </w:rPr>
    </w:lvl>
    <w:lvl w:ilvl="1">
      <w:start w:val="1"/>
      <w:numFmt w:val="bullet"/>
      <w:lvlText w:val="o"/>
      <w:lvlJc w:val="left"/>
      <w:pPr>
        <w:ind w:left="1440" w:hanging="720"/>
      </w:pPr>
      <w:rPr>
        <w:rFonts w:ascii="Courier New" w:hAnsi="Courier New" w:hint="default"/>
        <w:color w:val="007DC3"/>
      </w:rPr>
    </w:lvl>
    <w:lvl w:ilvl="2">
      <w:start w:val="1"/>
      <w:numFmt w:val="bullet"/>
      <w:lvlText w:val=""/>
      <w:lvlJc w:val="left"/>
      <w:pPr>
        <w:ind w:left="2160" w:hanging="792"/>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340861"/>
    <w:multiLevelType w:val="hybridMultilevel"/>
    <w:tmpl w:val="322897AA"/>
    <w:lvl w:ilvl="0" w:tplc="B052B040">
      <w:numFmt w:val="bullet"/>
      <w:lvlText w:val=""/>
      <w:lvlJc w:val="left"/>
      <w:pPr>
        <w:ind w:left="720" w:hanging="360"/>
      </w:pPr>
      <w:rPr>
        <w:rFonts w:ascii="Symbol" w:hAnsi="Symbol" w:hint="default"/>
        <w:color w:val="0072AD"/>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B3865"/>
    <w:multiLevelType w:val="multilevel"/>
    <w:tmpl w:val="4D44B134"/>
    <w:lvl w:ilvl="0">
      <w:start w:val="1"/>
      <w:numFmt w:val="bullet"/>
      <w:pStyle w:val="BulletedList"/>
      <w:lvlText w:val="–"/>
      <w:lvlJc w:val="left"/>
      <w:pPr>
        <w:tabs>
          <w:tab w:val="num" w:pos="360"/>
        </w:tabs>
        <w:ind w:left="360" w:hanging="360"/>
      </w:pPr>
      <w:rPr>
        <w:rFonts w:ascii="Arial" w:hAnsi="Arial" w:hint="default"/>
        <w:b/>
        <w:i w:val="0"/>
        <w:color w:val="007DC3" w:themeColor="accent2"/>
        <w:sz w:val="24"/>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43286F"/>
    <w:multiLevelType w:val="hybridMultilevel"/>
    <w:tmpl w:val="82FC7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076DA4"/>
    <w:multiLevelType w:val="hybridMultilevel"/>
    <w:tmpl w:val="D8DACFDE"/>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6" w15:restartNumberingAfterBreak="0">
    <w:nsid w:val="48937F0D"/>
    <w:multiLevelType w:val="hybridMultilevel"/>
    <w:tmpl w:val="CB6C80B6"/>
    <w:lvl w:ilvl="0" w:tplc="C99018C4">
      <w:start w:val="1"/>
      <w:numFmt w:val="bullet"/>
      <w:lvlText w:val="–"/>
      <w:lvlJc w:val="left"/>
      <w:pPr>
        <w:ind w:left="720" w:hanging="360"/>
      </w:pPr>
      <w:rPr>
        <w:rFonts w:ascii="Arial" w:hAnsi="Arial" w:hint="default"/>
        <w:b/>
        <w:i w:val="0"/>
        <w:color w:val="007DC3" w:themeColor="accent2"/>
        <w:sz w:val="24"/>
      </w:rPr>
    </w:lvl>
    <w:lvl w:ilvl="1" w:tplc="B052B040">
      <w:numFmt w:val="bullet"/>
      <w:lvlText w:val=""/>
      <w:lvlJc w:val="left"/>
      <w:pPr>
        <w:ind w:left="1440" w:hanging="360"/>
      </w:pPr>
      <w:rPr>
        <w:rFonts w:ascii="Symbol" w:hAnsi="Symbol" w:hint="default"/>
        <w:color w:val="0072AD"/>
        <w:sz w:val="20"/>
      </w:rPr>
    </w:lvl>
    <w:lvl w:ilvl="2" w:tplc="C99018C4">
      <w:start w:val="1"/>
      <w:numFmt w:val="bullet"/>
      <w:lvlText w:val="–"/>
      <w:lvlJc w:val="left"/>
      <w:pPr>
        <w:ind w:left="720" w:hanging="360"/>
      </w:pPr>
      <w:rPr>
        <w:rFonts w:ascii="Arial" w:hAnsi="Arial" w:hint="default"/>
        <w:b/>
        <w:i w:val="0"/>
        <w:color w:val="007DC3" w:themeColor="accent2"/>
        <w:sz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C3971"/>
    <w:multiLevelType w:val="hybridMultilevel"/>
    <w:tmpl w:val="E7344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6698C"/>
    <w:multiLevelType w:val="hybridMultilevel"/>
    <w:tmpl w:val="AF7A8846"/>
    <w:lvl w:ilvl="0" w:tplc="C688C8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D8F04CF"/>
    <w:multiLevelType w:val="hybridMultilevel"/>
    <w:tmpl w:val="4EFC8758"/>
    <w:lvl w:ilvl="0" w:tplc="B052B040">
      <w:numFmt w:val="bullet"/>
      <w:lvlText w:val=""/>
      <w:lvlJc w:val="left"/>
      <w:pPr>
        <w:ind w:left="720" w:hanging="360"/>
      </w:pPr>
      <w:rPr>
        <w:rFonts w:ascii="Symbol" w:hAnsi="Symbol" w:hint="default"/>
        <w:color w:val="0072AD"/>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C07201"/>
    <w:multiLevelType w:val="multilevel"/>
    <w:tmpl w:val="7756ADC4"/>
    <w:lvl w:ilvl="0">
      <w:start w:val="1"/>
      <w:numFmt w:val="decimal"/>
      <w:pStyle w:val="NumberedList"/>
      <w:lvlText w:val="%1."/>
      <w:lvlJc w:val="left"/>
      <w:pPr>
        <w:tabs>
          <w:tab w:val="num" w:pos="360"/>
        </w:tabs>
        <w:ind w:left="360" w:hanging="360"/>
      </w:pPr>
      <w:rPr>
        <w:rFonts w:ascii="Arial" w:hAnsi="Arial" w:hint="default"/>
        <w:b w:val="0"/>
        <w:i w:val="0"/>
        <w:color w:val="007DC3"/>
        <w:sz w:val="20"/>
      </w:rPr>
    </w:lvl>
    <w:lvl w:ilvl="1">
      <w:start w:val="1"/>
      <w:numFmt w:val="lowerLetter"/>
      <w:lvlText w:val="%2."/>
      <w:lvlJc w:val="left"/>
      <w:pPr>
        <w:ind w:left="1440" w:hanging="360"/>
      </w:pPr>
      <w:rPr>
        <w:rFonts w:hint="default"/>
        <w:color w:val="007DC3"/>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EC11025"/>
    <w:multiLevelType w:val="hybridMultilevel"/>
    <w:tmpl w:val="935843BE"/>
    <w:lvl w:ilvl="0" w:tplc="1084EDB4">
      <w:start w:val="1"/>
      <w:numFmt w:val="upperRoman"/>
      <w:lvlText w:val="%1."/>
      <w:lvlJc w:val="left"/>
      <w:pPr>
        <w:ind w:left="1080" w:hanging="72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8919881">
    <w:abstractNumId w:val="19"/>
  </w:num>
  <w:num w:numId="2" w16cid:durableId="500006253">
    <w:abstractNumId w:val="12"/>
  </w:num>
  <w:num w:numId="3" w16cid:durableId="238490635">
    <w:abstractNumId w:val="13"/>
  </w:num>
  <w:num w:numId="4" w16cid:durableId="1677616717">
    <w:abstractNumId w:val="10"/>
  </w:num>
  <w:num w:numId="5" w16cid:durableId="2123570015">
    <w:abstractNumId w:val="16"/>
  </w:num>
  <w:num w:numId="6" w16cid:durableId="1360088516">
    <w:abstractNumId w:val="20"/>
  </w:num>
  <w:num w:numId="7" w16cid:durableId="953444918">
    <w:abstractNumId w:val="11"/>
  </w:num>
  <w:num w:numId="8" w16cid:durableId="8556520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2571220">
    <w:abstractNumId w:val="0"/>
  </w:num>
  <w:num w:numId="10" w16cid:durableId="1403799058">
    <w:abstractNumId w:val="1"/>
  </w:num>
  <w:num w:numId="11" w16cid:durableId="705719655">
    <w:abstractNumId w:val="2"/>
  </w:num>
  <w:num w:numId="12" w16cid:durableId="1013998283">
    <w:abstractNumId w:val="3"/>
  </w:num>
  <w:num w:numId="13" w16cid:durableId="889607416">
    <w:abstractNumId w:val="8"/>
  </w:num>
  <w:num w:numId="14" w16cid:durableId="1002466751">
    <w:abstractNumId w:val="4"/>
  </w:num>
  <w:num w:numId="15" w16cid:durableId="787621627">
    <w:abstractNumId w:val="5"/>
  </w:num>
  <w:num w:numId="16" w16cid:durableId="780417677">
    <w:abstractNumId w:val="6"/>
  </w:num>
  <w:num w:numId="17" w16cid:durableId="1242519734">
    <w:abstractNumId w:val="7"/>
  </w:num>
  <w:num w:numId="18" w16cid:durableId="1897742002">
    <w:abstractNumId w:val="9"/>
  </w:num>
  <w:num w:numId="19" w16cid:durableId="427509684">
    <w:abstractNumId w:val="21"/>
  </w:num>
  <w:num w:numId="20" w16cid:durableId="1588155713">
    <w:abstractNumId w:val="18"/>
  </w:num>
  <w:num w:numId="21" w16cid:durableId="910240154">
    <w:abstractNumId w:val="14"/>
  </w:num>
  <w:num w:numId="22" w16cid:durableId="1270890982">
    <w:abstractNumId w:val="17"/>
  </w:num>
  <w:num w:numId="23" w16cid:durableId="155211077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376"/>
    <w:rsid w:val="00044F5E"/>
    <w:rsid w:val="00045ADE"/>
    <w:rsid w:val="00045C4A"/>
    <w:rsid w:val="00092AB2"/>
    <w:rsid w:val="00094CF0"/>
    <w:rsid w:val="000C7745"/>
    <w:rsid w:val="001314B1"/>
    <w:rsid w:val="00131E5D"/>
    <w:rsid w:val="001A3C61"/>
    <w:rsid w:val="001F5C7C"/>
    <w:rsid w:val="00261CA6"/>
    <w:rsid w:val="002A3DD7"/>
    <w:rsid w:val="002C69AE"/>
    <w:rsid w:val="002D3143"/>
    <w:rsid w:val="003626FB"/>
    <w:rsid w:val="003776B2"/>
    <w:rsid w:val="003D54C5"/>
    <w:rsid w:val="00414E2F"/>
    <w:rsid w:val="00443CE7"/>
    <w:rsid w:val="00460B1E"/>
    <w:rsid w:val="00467B34"/>
    <w:rsid w:val="004B2692"/>
    <w:rsid w:val="004C4EFA"/>
    <w:rsid w:val="00501005"/>
    <w:rsid w:val="00537456"/>
    <w:rsid w:val="0054335F"/>
    <w:rsid w:val="0059220B"/>
    <w:rsid w:val="005B24D1"/>
    <w:rsid w:val="005C573D"/>
    <w:rsid w:val="005D74AB"/>
    <w:rsid w:val="005F4BD5"/>
    <w:rsid w:val="006046D0"/>
    <w:rsid w:val="00605B37"/>
    <w:rsid w:val="00616FA1"/>
    <w:rsid w:val="00650635"/>
    <w:rsid w:val="006519B5"/>
    <w:rsid w:val="00663733"/>
    <w:rsid w:val="006737F8"/>
    <w:rsid w:val="00681FC2"/>
    <w:rsid w:val="006E6D23"/>
    <w:rsid w:val="007171FB"/>
    <w:rsid w:val="00745253"/>
    <w:rsid w:val="00756E2A"/>
    <w:rsid w:val="007855F5"/>
    <w:rsid w:val="007C0E8E"/>
    <w:rsid w:val="007D5376"/>
    <w:rsid w:val="00805266"/>
    <w:rsid w:val="0081703F"/>
    <w:rsid w:val="008A48CA"/>
    <w:rsid w:val="008B75B1"/>
    <w:rsid w:val="00916503"/>
    <w:rsid w:val="009211E1"/>
    <w:rsid w:val="009615D7"/>
    <w:rsid w:val="009929A1"/>
    <w:rsid w:val="009B1B6C"/>
    <w:rsid w:val="009B3DC8"/>
    <w:rsid w:val="009C12FF"/>
    <w:rsid w:val="009D1D66"/>
    <w:rsid w:val="00A305DD"/>
    <w:rsid w:val="00A704C3"/>
    <w:rsid w:val="00AD0B52"/>
    <w:rsid w:val="00AF4918"/>
    <w:rsid w:val="00B1458F"/>
    <w:rsid w:val="00B90F1D"/>
    <w:rsid w:val="00BE4AC7"/>
    <w:rsid w:val="00BF02E8"/>
    <w:rsid w:val="00BF77E3"/>
    <w:rsid w:val="00C77EED"/>
    <w:rsid w:val="00CE1A03"/>
    <w:rsid w:val="00CF1323"/>
    <w:rsid w:val="00D04508"/>
    <w:rsid w:val="00D31C9E"/>
    <w:rsid w:val="00D73BE0"/>
    <w:rsid w:val="00D73F47"/>
    <w:rsid w:val="00D96130"/>
    <w:rsid w:val="00DA5728"/>
    <w:rsid w:val="00DE774C"/>
    <w:rsid w:val="00E1600F"/>
    <w:rsid w:val="00E670AD"/>
    <w:rsid w:val="00E704D1"/>
    <w:rsid w:val="00E82A3F"/>
    <w:rsid w:val="00EB47C3"/>
    <w:rsid w:val="00EE3AA3"/>
    <w:rsid w:val="00F11A5A"/>
    <w:rsid w:val="00F14387"/>
    <w:rsid w:val="00F26CC0"/>
    <w:rsid w:val="00F62115"/>
    <w:rsid w:val="00F85DB5"/>
    <w:rsid w:val="00FB2CA0"/>
    <w:rsid w:val="00FC2789"/>
    <w:rsid w:val="00FF0382"/>
    <w:rsid w:val="00FF49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B08C3B"/>
  <w15:chartTrackingRefBased/>
  <w15:docId w15:val="{8424A1B8-1864-471D-B5EA-F98730435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pPr>
      <w:keepNext/>
      <w:keepLines/>
      <w:spacing w:before="240" w:after="360" w:line="240" w:lineRule="auto"/>
      <w:outlineLvl w:val="0"/>
    </w:pPr>
    <w:rPr>
      <w:rFonts w:ascii="Arial" w:eastAsia="Times New Roman" w:hAnsi="Arial" w:cs="Times New Roman"/>
      <w:b/>
      <w:caps/>
      <w:color w:val="007DC3" w:themeColor="accent2"/>
      <w:spacing w:val="10"/>
      <w:sz w:val="24"/>
      <w:szCs w:val="32"/>
    </w:rPr>
  </w:style>
  <w:style w:type="paragraph" w:styleId="Heading2">
    <w:name w:val="heading 2"/>
    <w:basedOn w:val="HeadingTwo"/>
    <w:next w:val="Normal"/>
    <w:link w:val="Heading2Char"/>
    <w:uiPriority w:val="9"/>
    <w:unhideWhenUsed/>
    <w:pPr>
      <w:outlineLvl w:val="1"/>
    </w:pPr>
  </w:style>
  <w:style w:type="paragraph" w:styleId="Heading3">
    <w:name w:val="heading 3"/>
    <w:basedOn w:val="Normal"/>
    <w:next w:val="Normal"/>
    <w:link w:val="Heading3Char"/>
    <w:uiPriority w:val="9"/>
    <w:unhideWhenUsed/>
    <w:qFormat/>
    <w:pPr>
      <w:keepNext/>
      <w:keepLines/>
      <w:spacing w:before="120" w:after="120" w:line="240" w:lineRule="auto"/>
      <w:outlineLvl w:val="2"/>
    </w:pPr>
    <w:rPr>
      <w:rFonts w:asciiTheme="majorHAnsi" w:eastAsiaTheme="majorEastAsia" w:hAnsiTheme="majorHAnsi" w:cstheme="majorBidi"/>
      <w:b/>
      <w:color w:val="404040" w:themeColor="accent5"/>
      <w:sz w:val="20"/>
      <w:szCs w:val="24"/>
    </w:rPr>
  </w:style>
  <w:style w:type="paragraph" w:styleId="Heading4">
    <w:name w:val="heading 4"/>
    <w:basedOn w:val="Normal"/>
    <w:next w:val="Normal"/>
    <w:link w:val="Heading4Char"/>
    <w:uiPriority w:val="9"/>
    <w:semiHidden/>
    <w:unhideWhenUsed/>
    <w:qFormat/>
    <w:pPr>
      <w:keepNext/>
      <w:keepLines/>
      <w:spacing w:before="40" w:after="0" w:line="240" w:lineRule="auto"/>
      <w:outlineLvl w:val="3"/>
    </w:pPr>
    <w:rPr>
      <w:rFonts w:asciiTheme="majorHAnsi" w:eastAsiaTheme="majorEastAsia" w:hAnsiTheme="majorHAnsi" w:cstheme="majorBidi"/>
      <w:i/>
      <w:iCs/>
      <w:color w:val="007DC3" w:themeColor="accent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adingBlueText">
    <w:name w:val="Leading Blue Text"/>
    <w:basedOn w:val="Normal"/>
    <w:qFormat/>
    <w:pPr>
      <w:spacing w:after="360" w:line="360" w:lineRule="exact"/>
    </w:pPr>
    <w:rPr>
      <w:rFonts w:ascii="Arial" w:eastAsia="Times New Roman" w:hAnsi="Arial" w:cs="Times New Roman"/>
      <w:color w:val="007DC3" w:themeColor="accent2"/>
    </w:rPr>
  </w:style>
  <w:style w:type="character" w:customStyle="1" w:styleId="Heading1Char">
    <w:name w:val="Heading 1 Char"/>
    <w:basedOn w:val="DefaultParagraphFont"/>
    <w:link w:val="Heading1"/>
    <w:uiPriority w:val="9"/>
    <w:rPr>
      <w:rFonts w:ascii="Arial" w:eastAsia="Times New Roman" w:hAnsi="Arial" w:cs="Times New Roman"/>
      <w:b/>
      <w:caps/>
      <w:color w:val="007DC3" w:themeColor="accent2"/>
      <w:spacing w:val="10"/>
      <w:szCs w:val="32"/>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eadingTwo">
    <w:name w:val="Heading Two"/>
    <w:basedOn w:val="Normal"/>
    <w:qFormat/>
    <w:pPr>
      <w:spacing w:before="480" w:after="360" w:line="240" w:lineRule="auto"/>
    </w:pPr>
    <w:rPr>
      <w:rFonts w:cs="Times New Roman (Body CS)"/>
      <w:b/>
      <w:bCs/>
      <w:caps/>
      <w:spacing w:val="20"/>
      <w:sz w:val="21"/>
      <w:szCs w:val="21"/>
    </w:rPr>
  </w:style>
  <w:style w:type="paragraph" w:customStyle="1" w:styleId="LawyerBioName">
    <w:name w:val="Lawyer Bio Name"/>
    <w:basedOn w:val="Normal"/>
    <w:qFormat/>
    <w:pPr>
      <w:spacing w:before="120" w:after="120" w:line="240" w:lineRule="auto"/>
    </w:pPr>
    <w:rPr>
      <w:b/>
      <w:bCs/>
      <w:noProof/>
      <w:color w:val="007DC3" w:themeColor="accent1"/>
      <w:sz w:val="20"/>
      <w:szCs w:val="20"/>
    </w:rPr>
  </w:style>
  <w:style w:type="paragraph" w:styleId="Header">
    <w:name w:val="header"/>
    <w:basedOn w:val="Normal"/>
    <w:link w:val="HeaderChar"/>
    <w:uiPriority w:val="99"/>
    <w:unhideWhenUsed/>
    <w:pPr>
      <w:tabs>
        <w:tab w:val="center" w:pos="4680"/>
        <w:tab w:val="right" w:pos="9360"/>
      </w:tabs>
      <w:spacing w:after="0" w:line="240" w:lineRule="auto"/>
    </w:pPr>
    <w:rPr>
      <w:rFonts w:ascii="Arial" w:eastAsia="Times New Roman" w:hAnsi="Arial" w:cs="Times New Roman"/>
      <w:sz w:val="20"/>
      <w:szCs w:val="20"/>
    </w:rPr>
  </w:style>
  <w:style w:type="character" w:customStyle="1" w:styleId="HeaderChar">
    <w:name w:val="Header Char"/>
    <w:basedOn w:val="DefaultParagraphFont"/>
    <w:link w:val="Header"/>
    <w:uiPriority w:val="99"/>
    <w:rPr>
      <w:rFonts w:ascii="Arial" w:eastAsia="Times New Roman" w:hAnsi="Arial" w:cs="Times New Roman"/>
      <w:sz w:val="20"/>
      <w:szCs w:val="20"/>
    </w:rPr>
  </w:style>
  <w:style w:type="character" w:styleId="PageNumber">
    <w:name w:val="page number"/>
    <w:basedOn w:val="DefaultParagraphFont"/>
    <w:semiHidden/>
    <w:unhideWhenUsed/>
  </w:style>
  <w:style w:type="paragraph" w:customStyle="1" w:styleId="HeadingOne">
    <w:name w:val="Heading One"/>
    <w:basedOn w:val="TOCHeading"/>
    <w:qFormat/>
  </w:style>
  <w:style w:type="paragraph" w:customStyle="1" w:styleId="BulletedList">
    <w:name w:val="Bulleted List"/>
    <w:basedOn w:val="Normal"/>
    <w:link w:val="BulletedListChar"/>
    <w:qFormat/>
    <w:pPr>
      <w:numPr>
        <w:numId w:val="3"/>
      </w:numPr>
      <w:spacing w:before="240" w:after="0" w:line="240" w:lineRule="auto"/>
    </w:pPr>
    <w:rPr>
      <w:rFonts w:ascii="Arial" w:eastAsia="Times New Roman" w:hAnsi="Arial" w:cs="Arial"/>
      <w:bCs/>
      <w:sz w:val="20"/>
      <w:szCs w:val="20"/>
    </w:rPr>
  </w:style>
  <w:style w:type="paragraph" w:styleId="Footer">
    <w:name w:val="footer"/>
    <w:basedOn w:val="Normal"/>
    <w:link w:val="FooterChar"/>
    <w:uiPriority w:val="99"/>
    <w:unhideWhenUsed/>
    <w:pPr>
      <w:tabs>
        <w:tab w:val="center" w:pos="4680"/>
        <w:tab w:val="right" w:pos="9360"/>
      </w:tabs>
      <w:spacing w:after="0" w:line="240" w:lineRule="auto"/>
    </w:pPr>
    <w:rPr>
      <w:rFonts w:ascii="Arial" w:eastAsia="Times New Roman" w:hAnsi="Arial" w:cs="Times New Roman"/>
      <w:sz w:val="20"/>
      <w:szCs w:val="20"/>
    </w:rPr>
  </w:style>
  <w:style w:type="character" w:customStyle="1" w:styleId="FooterChar">
    <w:name w:val="Footer Char"/>
    <w:basedOn w:val="DefaultParagraphFont"/>
    <w:link w:val="Footer"/>
    <w:uiPriority w:val="99"/>
    <w:rPr>
      <w:rFonts w:ascii="Arial" w:eastAsia="Times New Roman" w:hAnsi="Arial" w:cs="Times New Roman"/>
      <w:sz w:val="20"/>
      <w:szCs w:val="20"/>
    </w:rPr>
  </w:style>
  <w:style w:type="character" w:customStyle="1" w:styleId="BulletedListChar">
    <w:name w:val="Bulleted List Char"/>
    <w:basedOn w:val="DefaultParagraphFont"/>
    <w:link w:val="BulletedList"/>
    <w:rPr>
      <w:rFonts w:ascii="Arial" w:eastAsia="Times New Roman" w:hAnsi="Arial" w:cs="Arial"/>
      <w:bCs/>
      <w:sz w:val="20"/>
      <w:szCs w:val="20"/>
    </w:rPr>
  </w:style>
  <w:style w:type="paragraph" w:customStyle="1" w:styleId="NumberedList">
    <w:name w:val="Numbered List"/>
    <w:basedOn w:val="BulletedList"/>
    <w:qFormat/>
    <w:pPr>
      <w:numPr>
        <w:numId w:val="6"/>
      </w:numPr>
      <w:tabs>
        <w:tab w:val="clear" w:pos="360"/>
      </w:tabs>
    </w:pPr>
  </w:style>
  <w:style w:type="paragraph" w:customStyle="1" w:styleId="LawyerBioRoleandOffice">
    <w:name w:val="Lawyer Bio Role and Office"/>
    <w:basedOn w:val="Normal"/>
    <w:qFormat/>
    <w:pPr>
      <w:spacing w:after="120" w:line="240" w:lineRule="auto"/>
    </w:pPr>
    <w:rPr>
      <w:b/>
      <w:bCs/>
      <w:sz w:val="20"/>
      <w:szCs w:val="20"/>
    </w:rPr>
  </w:style>
  <w:style w:type="paragraph" w:customStyle="1" w:styleId="LawyerBioContactInformation">
    <w:name w:val="Lawyer Bio Contact Information"/>
    <w:basedOn w:val="Normal"/>
    <w:qFormat/>
    <w:pPr>
      <w:spacing w:after="320" w:line="240" w:lineRule="auto"/>
    </w:pPr>
    <w:rPr>
      <w:sz w:val="20"/>
      <w:szCs w:val="20"/>
    </w:rPr>
  </w:style>
  <w:style w:type="paragraph" w:styleId="TOCHeading">
    <w:name w:val="TOC Heading"/>
    <w:next w:val="Normal"/>
    <w:uiPriority w:val="39"/>
    <w:unhideWhenUsed/>
    <w:qFormat/>
    <w:pPr>
      <w:spacing w:before="240" w:after="240"/>
    </w:pPr>
    <w:rPr>
      <w:rFonts w:ascii="Arial" w:eastAsia="Times New Roman" w:hAnsi="Arial" w:cs="Times New Roman"/>
      <w:b/>
      <w:caps/>
      <w:color w:val="007DC3" w:themeColor="accent2"/>
      <w:spacing w:val="10"/>
      <w:szCs w:val="32"/>
    </w:rPr>
  </w:style>
  <w:style w:type="paragraph" w:styleId="TOC1">
    <w:name w:val="toc 1"/>
    <w:basedOn w:val="Normal"/>
    <w:next w:val="Normal"/>
    <w:autoRedefine/>
    <w:uiPriority w:val="39"/>
    <w:unhideWhenUsed/>
    <w:pPr>
      <w:spacing w:before="120" w:after="120" w:line="240" w:lineRule="auto"/>
    </w:pPr>
    <w:rPr>
      <w:rFonts w:cstheme="minorHAnsi"/>
      <w:b/>
      <w:bCs/>
      <w:iCs/>
      <w:sz w:val="24"/>
      <w:szCs w:val="24"/>
    </w:rPr>
  </w:style>
  <w:style w:type="paragraph" w:styleId="TOC2">
    <w:name w:val="toc 2"/>
    <w:basedOn w:val="Normal"/>
    <w:next w:val="Normal"/>
    <w:autoRedefine/>
    <w:uiPriority w:val="39"/>
    <w:unhideWhenUsed/>
    <w:pPr>
      <w:spacing w:before="120" w:after="0" w:line="240" w:lineRule="auto"/>
      <w:ind w:left="200"/>
    </w:pPr>
    <w:rPr>
      <w:rFonts w:cstheme="minorHAnsi"/>
      <w:b/>
      <w:bCs/>
    </w:rPr>
  </w:style>
  <w:style w:type="paragraph" w:styleId="TOC3">
    <w:name w:val="toc 3"/>
    <w:basedOn w:val="Normal"/>
    <w:next w:val="Normal"/>
    <w:autoRedefine/>
    <w:uiPriority w:val="39"/>
    <w:semiHidden/>
    <w:unhideWhenUsed/>
    <w:pPr>
      <w:spacing w:after="0" w:line="240" w:lineRule="auto"/>
      <w:ind w:left="400"/>
    </w:pPr>
    <w:rPr>
      <w:rFonts w:cstheme="minorHAnsi"/>
      <w:sz w:val="20"/>
      <w:szCs w:val="20"/>
    </w:rPr>
  </w:style>
  <w:style w:type="paragraph" w:styleId="TOC4">
    <w:name w:val="toc 4"/>
    <w:basedOn w:val="Normal"/>
    <w:next w:val="Normal"/>
    <w:autoRedefine/>
    <w:uiPriority w:val="39"/>
    <w:semiHidden/>
    <w:unhideWhenUsed/>
    <w:pPr>
      <w:spacing w:after="0" w:line="240" w:lineRule="auto"/>
      <w:ind w:left="600"/>
    </w:pPr>
    <w:rPr>
      <w:rFonts w:cstheme="minorHAnsi"/>
      <w:sz w:val="20"/>
      <w:szCs w:val="20"/>
    </w:rPr>
  </w:style>
  <w:style w:type="paragraph" w:styleId="TOC5">
    <w:name w:val="toc 5"/>
    <w:basedOn w:val="Normal"/>
    <w:next w:val="Normal"/>
    <w:autoRedefine/>
    <w:uiPriority w:val="39"/>
    <w:semiHidden/>
    <w:unhideWhenUsed/>
    <w:pPr>
      <w:spacing w:after="0" w:line="240" w:lineRule="auto"/>
      <w:ind w:left="800"/>
    </w:pPr>
    <w:rPr>
      <w:rFonts w:cstheme="minorHAnsi"/>
      <w:sz w:val="20"/>
      <w:szCs w:val="20"/>
    </w:rPr>
  </w:style>
  <w:style w:type="paragraph" w:styleId="TOC6">
    <w:name w:val="toc 6"/>
    <w:basedOn w:val="Normal"/>
    <w:next w:val="Normal"/>
    <w:autoRedefine/>
    <w:uiPriority w:val="39"/>
    <w:semiHidden/>
    <w:unhideWhenUsed/>
    <w:pPr>
      <w:spacing w:after="0" w:line="240" w:lineRule="auto"/>
      <w:ind w:left="1000"/>
    </w:pPr>
    <w:rPr>
      <w:rFonts w:cstheme="minorHAnsi"/>
      <w:sz w:val="20"/>
      <w:szCs w:val="20"/>
    </w:rPr>
  </w:style>
  <w:style w:type="paragraph" w:styleId="TOC7">
    <w:name w:val="toc 7"/>
    <w:basedOn w:val="Normal"/>
    <w:next w:val="Normal"/>
    <w:autoRedefine/>
    <w:uiPriority w:val="39"/>
    <w:semiHidden/>
    <w:unhideWhenUsed/>
    <w:pPr>
      <w:spacing w:after="0" w:line="240" w:lineRule="auto"/>
      <w:ind w:left="1200"/>
    </w:pPr>
    <w:rPr>
      <w:rFonts w:cstheme="minorHAnsi"/>
      <w:sz w:val="20"/>
      <w:szCs w:val="20"/>
    </w:rPr>
  </w:style>
  <w:style w:type="paragraph" w:styleId="TOC8">
    <w:name w:val="toc 8"/>
    <w:basedOn w:val="Normal"/>
    <w:next w:val="Normal"/>
    <w:autoRedefine/>
    <w:uiPriority w:val="39"/>
    <w:semiHidden/>
    <w:unhideWhenUsed/>
    <w:pPr>
      <w:spacing w:after="0" w:line="240" w:lineRule="auto"/>
      <w:ind w:left="1400"/>
    </w:pPr>
    <w:rPr>
      <w:rFonts w:cstheme="minorHAnsi"/>
      <w:sz w:val="20"/>
      <w:szCs w:val="20"/>
    </w:rPr>
  </w:style>
  <w:style w:type="paragraph" w:styleId="TOC9">
    <w:name w:val="toc 9"/>
    <w:basedOn w:val="Normal"/>
    <w:next w:val="Normal"/>
    <w:autoRedefine/>
    <w:uiPriority w:val="39"/>
    <w:semiHidden/>
    <w:unhideWhenUsed/>
    <w:pPr>
      <w:spacing w:after="0" w:line="240" w:lineRule="auto"/>
      <w:ind w:left="1600"/>
    </w:pPr>
    <w:rPr>
      <w:rFonts w:cstheme="minorHAnsi"/>
      <w:sz w:val="20"/>
      <w:szCs w:val="20"/>
    </w:rPr>
  </w:style>
  <w:style w:type="character" w:styleId="Hyperlink">
    <w:name w:val="Hyperlink"/>
    <w:basedOn w:val="DefaultParagraphFont"/>
    <w:uiPriority w:val="99"/>
    <w:unhideWhenUsed/>
    <w:rPr>
      <w:color w:val="007DC3" w:themeColor="hyperlink"/>
      <w:u w:val="single"/>
    </w:rPr>
  </w:style>
  <w:style w:type="character" w:customStyle="1" w:styleId="Heading2Char">
    <w:name w:val="Heading 2 Char"/>
    <w:basedOn w:val="DefaultParagraphFont"/>
    <w:link w:val="Heading2"/>
    <w:uiPriority w:val="9"/>
    <w:rPr>
      <w:rFonts w:cs="Times New Roman (Body CS)"/>
      <w:b/>
      <w:bCs/>
      <w:caps/>
      <w:spacing w:val="20"/>
      <w:sz w:val="21"/>
      <w:szCs w:val="21"/>
    </w:rPr>
  </w:style>
  <w:style w:type="character" w:customStyle="1" w:styleId="Heading3Char">
    <w:name w:val="Heading 3 Char"/>
    <w:basedOn w:val="DefaultParagraphFont"/>
    <w:link w:val="Heading3"/>
    <w:uiPriority w:val="9"/>
    <w:rPr>
      <w:rFonts w:asciiTheme="majorHAnsi" w:eastAsiaTheme="majorEastAsia" w:hAnsiTheme="majorHAnsi" w:cstheme="majorBidi"/>
      <w:b/>
      <w:color w:val="404040" w:themeColor="accent5"/>
      <w:sz w:val="2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007DC3" w:themeColor="accent1"/>
      <w:sz w:val="20"/>
      <w:szCs w:val="20"/>
    </w:rPr>
  </w:style>
  <w:style w:type="table" w:styleId="TableGrid">
    <w:name w:val="Table Grid"/>
    <w:basedOn w:val="TableNormal"/>
    <w:uiPriority w:val="3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FootnoteText">
    <w:name w:val="footnote text"/>
    <w:aliases w:val="ALTS FOOTNOTE,Footnote Text Char Char Char Char Char Char1 Char,Footnote Text Char Char Char1 Char,Footnote Text Char1 Char Char,Footnote Text Char1 Char Char Char Char1 Char,Footnote Text Char2 Char Char Char1 Char,f,fn,Footnote Text 2"/>
    <w:basedOn w:val="Normal"/>
    <w:link w:val="FootnoteTextChar"/>
    <w:autoRedefine/>
    <w:uiPriority w:val="99"/>
    <w:qFormat/>
    <w:rsid w:val="003776B2"/>
    <w:pPr>
      <w:spacing w:after="120" w:line="240" w:lineRule="auto"/>
      <w:jc w:val="both"/>
    </w:pPr>
    <w:rPr>
      <w:rFonts w:ascii="Times New Roman" w:eastAsia="Times New Roman" w:hAnsi="Times New Roman" w:cs="Times New Roman"/>
      <w:szCs w:val="24"/>
    </w:rPr>
  </w:style>
  <w:style w:type="character" w:customStyle="1" w:styleId="FootnoteTextChar">
    <w:name w:val="Footnote Text Char"/>
    <w:aliases w:val="ALTS FOOTNOTE Char,Footnote Text Char Char Char Char Char Char1 Char Char,Footnote Text Char Char Char1 Char Char,Footnote Text Char1 Char Char Char,Footnote Text Char1 Char Char Char Char1 Char Char,f Char,fn Char"/>
    <w:basedOn w:val="DefaultParagraphFont"/>
    <w:link w:val="FootnoteText"/>
    <w:uiPriority w:val="99"/>
    <w:rsid w:val="003776B2"/>
    <w:rPr>
      <w:rFonts w:ascii="Times New Roman" w:eastAsia="Times New Roman" w:hAnsi="Times New Roman" w:cs="Times New Roman"/>
      <w:sz w:val="22"/>
    </w:rPr>
  </w:style>
  <w:style w:type="character" w:styleId="FootnoteReference">
    <w:name w:val="footnote reference"/>
    <w:aliases w:val="(NECG) Footnote Reference,Appel note de bas de p,FR,Footnote Reference/,Style 12,Style 124,Style 13,Style 17,Style 3,Style 6,callout,fr,o,Style 30,FC,Style 52,Style 34,Style 28,Style 25,Style 33,Style 38,Sty,Style 20,Style 22,Style 4"/>
    <w:basedOn w:val="DefaultParagraphFont"/>
    <w:uiPriority w:val="99"/>
    <w:qFormat/>
    <w:rPr>
      <w:vertAlign w:val="superscript"/>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ListParagraph">
    <w:name w:val="List Paragraph"/>
    <w:basedOn w:val="Normal"/>
    <w:uiPriority w:val="34"/>
    <w:pPr>
      <w:ind w:left="720"/>
      <w:contextualSpacing/>
    </w:pPr>
  </w:style>
  <w:style w:type="paragraph" w:customStyle="1" w:styleId="BodyTextFirstIndentDoubleJustified">
    <w:name w:val="Body Text First Indent Double Justified"/>
    <w:basedOn w:val="Normal"/>
    <w:qFormat/>
    <w:pPr>
      <w:spacing w:after="0" w:line="480" w:lineRule="auto"/>
      <w:ind w:firstLine="720"/>
      <w:jc w:val="both"/>
    </w:pPr>
    <w:rPr>
      <w:rFonts w:ascii="Times New Roman" w:eastAsia="Times New Roman" w:hAnsi="Times New Roman" w:cs="Times New Roman"/>
      <w:sz w:val="24"/>
      <w:szCs w:val="24"/>
    </w:rPr>
  </w:style>
  <w:style w:type="paragraph" w:styleId="Revision">
    <w:name w:val="Revision"/>
    <w:hidden/>
    <w:uiPriority w:val="99"/>
    <w:semiHidden/>
    <w:rPr>
      <w:sz w:val="22"/>
      <w:szCs w:val="22"/>
    </w:rPr>
  </w:style>
  <w:style w:type="character" w:styleId="UnresolvedMention">
    <w:name w:val="Unresolved Mention"/>
    <w:basedOn w:val="DefaultParagraphFont"/>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335209">
      <w:bodyDiv w:val="1"/>
      <w:marLeft w:val="0"/>
      <w:marRight w:val="0"/>
      <w:marTop w:val="0"/>
      <w:marBottom w:val="0"/>
      <w:divBdr>
        <w:top w:val="none" w:sz="0" w:space="0" w:color="auto"/>
        <w:left w:val="none" w:sz="0" w:space="0" w:color="auto"/>
        <w:bottom w:val="none" w:sz="0" w:space="0" w:color="auto"/>
        <w:right w:val="none" w:sz="0" w:space="0" w:color="auto"/>
      </w:divBdr>
    </w:div>
    <w:div w:id="1847865326">
      <w:bodyDiv w:val="1"/>
      <w:marLeft w:val="0"/>
      <w:marRight w:val="0"/>
      <w:marTop w:val="0"/>
      <w:marBottom w:val="0"/>
      <w:divBdr>
        <w:top w:val="none" w:sz="0" w:space="0" w:color="auto"/>
        <w:left w:val="none" w:sz="0" w:space="0" w:color="auto"/>
        <w:bottom w:val="none" w:sz="0" w:space="0" w:color="auto"/>
        <w:right w:val="none" w:sz="0" w:space="0" w:color="auto"/>
      </w:divBdr>
    </w:div>
    <w:div w:id="2015378958">
      <w:bodyDiv w:val="1"/>
      <w:marLeft w:val="0"/>
      <w:marRight w:val="0"/>
      <w:marTop w:val="0"/>
      <w:marBottom w:val="0"/>
      <w:divBdr>
        <w:top w:val="none" w:sz="0" w:space="0" w:color="auto"/>
        <w:left w:val="none" w:sz="0" w:space="0" w:color="auto"/>
        <w:bottom w:val="none" w:sz="0" w:space="0" w:color="auto"/>
        <w:right w:val="none" w:sz="0" w:space="0" w:color="auto"/>
      </w:divBdr>
    </w:div>
    <w:div w:id="213840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alloway@gallyn-law.com" TargetMode="External"/><Relationship Id="rId13" Type="http://schemas.openxmlformats.org/officeDocument/2006/relationships/hyperlink" Target="mailto:ngalloway@gallyn-law.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jezierny@cov.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delnero@cov.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jflynn@jenner.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hsymons@jenner.com" TargetMode="External"/><Relationship Id="rId14" Type="http://schemas.openxmlformats.org/officeDocument/2006/relationships/hyperlink" Target="mailto:tlyndall@gallyn-law.co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bit.ly/3G9SE7Y"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tandard Content">
  <a:themeElements>
    <a:clrScheme name="Jenner &amp; Block 2021">
      <a:dk1>
        <a:srgbClr val="282828"/>
      </a:dk1>
      <a:lt1>
        <a:srgbClr val="FFFFFF"/>
      </a:lt1>
      <a:dk2>
        <a:srgbClr val="282828"/>
      </a:dk2>
      <a:lt2>
        <a:srgbClr val="E6E6E6"/>
      </a:lt2>
      <a:accent1>
        <a:srgbClr val="007DC3"/>
      </a:accent1>
      <a:accent2>
        <a:srgbClr val="007DC3"/>
      </a:accent2>
      <a:accent3>
        <a:srgbClr val="83BEE1"/>
      </a:accent3>
      <a:accent4>
        <a:srgbClr val="C1DFF0"/>
      </a:accent4>
      <a:accent5>
        <a:srgbClr val="404040"/>
      </a:accent5>
      <a:accent6>
        <a:srgbClr val="004975"/>
      </a:accent6>
      <a:hlink>
        <a:srgbClr val="007DC3"/>
      </a:hlink>
      <a:folHlink>
        <a:srgbClr val="007DC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2021_Jenner_and_Block_Template_16-9" id="{8F0C0013-DAB3-594E-A332-6333A194C01B}" vid="{BB3E5889-6A02-694F-967F-EC2919AC1BF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B4353-D9F2-492E-9370-5E6110BE3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2046</Words>
  <Characters>11664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Langlinais, Jonathan Alexander</dc:creator>
  <cp:lastModifiedBy>Donna Massey</cp:lastModifiedBy>
  <cp:revision>2</cp:revision>
  <cp:lastPrinted>1900-01-01T08:00:00Z</cp:lastPrinted>
  <dcterms:created xsi:type="dcterms:W3CDTF">2023-04-10T19:35:00Z</dcterms:created>
  <dcterms:modified xsi:type="dcterms:W3CDTF">2023-04-10T19:35:00Z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ActiveBits">
    <vt:lpwstr>98304</vt:lpwstr>
  </property>
  <property fmtid="{D5CDD505-2E9C-101B-9397-08002B2CF9AE}" pid="3" name="CUS_DocIDLocation">
    <vt:lpwstr>NO_DOC_ID</vt:lpwstr>
  </property>
  <property fmtid="{D5CDD505-2E9C-101B-9397-08002B2CF9AE}" pid="4" name="CUS_DocIDReference">
    <vt:lpwstr>noDocID</vt:lpwstr>
  </property>
</Properties>
</file>